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0A3388" w:rsidRPr="00371087" w:rsidRDefault="000A3388" w:rsidP="00371087">
      <w:pPr>
        <w:autoSpaceDE w:val="0"/>
        <w:autoSpaceDN w:val="0"/>
        <w:adjustRightInd w:val="0"/>
        <w:spacing w:after="0" w:line="240" w:lineRule="auto"/>
        <w:rPr>
          <w:rFonts w:cs="TimesTen-Roman"/>
        </w:rPr>
      </w:pPr>
    </w:p>
    <w:p w:rsidR="000A3388" w:rsidRPr="000A3388" w:rsidRDefault="000A3388" w:rsidP="000A3388">
      <w:pPr>
        <w:pStyle w:val="Listenabsatz"/>
        <w:autoSpaceDE w:val="0"/>
        <w:autoSpaceDN w:val="0"/>
        <w:adjustRightInd w:val="0"/>
        <w:spacing w:after="0" w:line="240" w:lineRule="auto"/>
        <w:rPr>
          <w:rFonts w:cs="TimesTen-Bold"/>
          <w:bCs/>
        </w:rPr>
      </w:pPr>
    </w:p>
    <w:p w:rsidR="009833DA" w:rsidRDefault="0002178F" w:rsidP="009833DA">
      <w:pPr>
        <w:autoSpaceDE w:val="0"/>
        <w:autoSpaceDN w:val="0"/>
        <w:adjustRightInd w:val="0"/>
        <w:spacing w:after="0" w:line="240" w:lineRule="auto"/>
        <w:rPr>
          <w:rFonts w:cs="TimesTen-Bold"/>
          <w:b/>
          <w:bCs/>
        </w:rPr>
      </w:pPr>
      <w:r>
        <w:rPr>
          <w:rFonts w:cs="TimesTen-Bold"/>
          <w:b/>
          <w:bCs/>
        </w:rPr>
        <w:t>Kapitel 7</w:t>
      </w:r>
    </w:p>
    <w:p w:rsidR="007C245B" w:rsidRDefault="007C245B" w:rsidP="009833DA">
      <w:pPr>
        <w:autoSpaceDE w:val="0"/>
        <w:autoSpaceDN w:val="0"/>
        <w:adjustRightInd w:val="0"/>
        <w:spacing w:after="0" w:line="240" w:lineRule="auto"/>
        <w:rPr>
          <w:rFonts w:cs="TimesTen-Bold"/>
          <w:b/>
          <w:bCs/>
        </w:rPr>
      </w:pPr>
    </w:p>
    <w:p w:rsidR="009833DA" w:rsidRPr="007C245B" w:rsidRDefault="00CD4F6D" w:rsidP="0097638C">
      <w:pPr>
        <w:pStyle w:val="Listenabsatz"/>
        <w:numPr>
          <w:ilvl w:val="0"/>
          <w:numId w:val="10"/>
        </w:numPr>
        <w:autoSpaceDE w:val="0"/>
        <w:autoSpaceDN w:val="0"/>
        <w:adjustRightInd w:val="0"/>
        <w:spacing w:after="0" w:line="240" w:lineRule="auto"/>
        <w:rPr>
          <w:rFonts w:cs="TimesTen-Bold"/>
          <w:bCs/>
        </w:rPr>
      </w:pPr>
      <w:r w:rsidRPr="00CD4F6D">
        <w:rPr>
          <w:rFonts w:cs="TimesTen-Roman"/>
          <w:b/>
        </w:rPr>
        <w:t>Gründe für Wachstum:</w:t>
      </w:r>
      <w:r>
        <w:rPr>
          <w:rFonts w:cs="TimesTen-Roman"/>
        </w:rPr>
        <w:t xml:space="preserve"> </w:t>
      </w:r>
      <w:r w:rsidR="009833DA" w:rsidRPr="007C245B">
        <w:rPr>
          <w:rFonts w:cs="TimesTen-Roman"/>
        </w:rPr>
        <w:t>Nach wie vor unbefriedigte Bedürfnisse, zusätzliche Nachfrage nach Arbeitskräften</w:t>
      </w:r>
      <w:r w:rsidR="007C245B">
        <w:rPr>
          <w:rFonts w:cs="TimesTen-Roman"/>
        </w:rPr>
        <w:t xml:space="preserve"> </w:t>
      </w:r>
      <w:r w:rsidR="009833DA" w:rsidRPr="007C245B">
        <w:rPr>
          <w:rFonts w:cs="TimesTen-Roman"/>
        </w:rPr>
        <w:t xml:space="preserve">(um Arbeitslosigkeit zu </w:t>
      </w:r>
      <w:r w:rsidR="00371087">
        <w:rPr>
          <w:rFonts w:cs="TimesTen-Roman"/>
        </w:rPr>
        <w:t>verhindern oder zu vermindern</w:t>
      </w:r>
      <w:r w:rsidR="009833DA" w:rsidRPr="007C245B">
        <w:rPr>
          <w:rFonts w:cs="TimesTen-Roman"/>
        </w:rPr>
        <w:t xml:space="preserve">), Erhöhung der Freizeit ohne </w:t>
      </w:r>
      <w:proofErr w:type="spellStart"/>
      <w:r w:rsidR="009833DA" w:rsidRPr="007C245B">
        <w:rPr>
          <w:rFonts w:cs="TimesTen-Roman"/>
        </w:rPr>
        <w:t>Einbusse</w:t>
      </w:r>
      <w:proofErr w:type="spellEnd"/>
      <w:r w:rsidR="009833DA" w:rsidRPr="007C245B">
        <w:rPr>
          <w:rFonts w:cs="TimesTen-Roman"/>
        </w:rPr>
        <w:t xml:space="preserve"> an Einkommen,</w:t>
      </w:r>
      <w:r w:rsidR="007C245B">
        <w:rPr>
          <w:rFonts w:cs="TimesTen-Roman"/>
        </w:rPr>
        <w:t xml:space="preserve"> </w:t>
      </w:r>
      <w:r w:rsidR="009833DA" w:rsidRPr="007C245B">
        <w:rPr>
          <w:rFonts w:cs="TimesTen-Roman"/>
        </w:rPr>
        <w:t>Lösung sozialpolitischer Probleme.</w:t>
      </w:r>
    </w:p>
    <w:p w:rsidR="007C245B" w:rsidRPr="007C245B" w:rsidRDefault="007C245B" w:rsidP="007C245B">
      <w:pPr>
        <w:pStyle w:val="Listenabsatz"/>
        <w:autoSpaceDE w:val="0"/>
        <w:autoSpaceDN w:val="0"/>
        <w:adjustRightInd w:val="0"/>
        <w:spacing w:after="0" w:line="240" w:lineRule="auto"/>
        <w:rPr>
          <w:rFonts w:cs="TimesTen-Bold"/>
          <w:bCs/>
        </w:rPr>
      </w:pPr>
    </w:p>
    <w:p w:rsidR="00371087" w:rsidRPr="00371087" w:rsidRDefault="00CD4F6D" w:rsidP="00371087">
      <w:pPr>
        <w:pStyle w:val="Listenabsatz"/>
        <w:numPr>
          <w:ilvl w:val="0"/>
          <w:numId w:val="10"/>
        </w:numPr>
        <w:autoSpaceDE w:val="0"/>
        <w:autoSpaceDN w:val="0"/>
        <w:adjustRightInd w:val="0"/>
        <w:spacing w:after="0" w:line="240" w:lineRule="auto"/>
        <w:rPr>
          <w:rFonts w:cs="TimesTen-Bold"/>
          <w:bCs/>
        </w:rPr>
      </w:pPr>
      <w:r w:rsidRPr="00CD4F6D">
        <w:rPr>
          <w:rFonts w:cs="TimesTen-Roman"/>
          <w:b/>
        </w:rPr>
        <w:t>Bestimmungsfaktoren des Wachstums:</w:t>
      </w:r>
      <w:r>
        <w:rPr>
          <w:rFonts w:cs="TimesTen-Roman"/>
        </w:rPr>
        <w:t xml:space="preserve"> </w:t>
      </w:r>
      <w:r w:rsidR="009833DA" w:rsidRPr="007C245B">
        <w:rPr>
          <w:rFonts w:cs="TimesTen-Roman"/>
        </w:rPr>
        <w:t>Menge und Produktivität der Produktionsfaktoren Arbeit, natürliche Ressourcen,</w:t>
      </w:r>
      <w:r w:rsidR="007C245B">
        <w:rPr>
          <w:rFonts w:cs="TimesTen-Roman"/>
        </w:rPr>
        <w:t xml:space="preserve"> </w:t>
      </w:r>
      <w:r w:rsidR="009833DA" w:rsidRPr="007C245B">
        <w:rPr>
          <w:rFonts w:cs="TimesTen-Roman"/>
        </w:rPr>
        <w:t>Realkapital,</w:t>
      </w:r>
      <w:r w:rsidR="007C245B" w:rsidRPr="007C245B">
        <w:rPr>
          <w:rFonts w:cs="TimesTen-Roman"/>
        </w:rPr>
        <w:t xml:space="preserve"> </w:t>
      </w:r>
      <w:r w:rsidR="009833DA" w:rsidRPr="007C245B">
        <w:rPr>
          <w:rFonts w:cs="TimesTen-Roman"/>
        </w:rPr>
        <w:t>Wissen und der institutionelle Rahmen, in welcher die Produktionsfaktoren</w:t>
      </w:r>
      <w:r w:rsidR="007C245B">
        <w:rPr>
          <w:rFonts w:cs="TimesTen-Roman"/>
        </w:rPr>
        <w:t xml:space="preserve"> </w:t>
      </w:r>
      <w:r w:rsidR="009833DA" w:rsidRPr="007C245B">
        <w:rPr>
          <w:rFonts w:cs="TimesTen-Roman"/>
        </w:rPr>
        <w:t>eingebettet sind. (Daneben spielen auch die übrigen Rahmenbedingungen,</w:t>
      </w:r>
      <w:r w:rsidR="007C245B">
        <w:rPr>
          <w:rFonts w:cs="TimesTen-Roman"/>
        </w:rPr>
        <w:t xml:space="preserve"> </w:t>
      </w:r>
      <w:r w:rsidR="009833DA" w:rsidRPr="007C245B">
        <w:rPr>
          <w:rFonts w:cs="TimesTen-Roman"/>
        </w:rPr>
        <w:t>die Geographie, das politische System und die Religion eine wichtige Rolle.)</w:t>
      </w:r>
    </w:p>
    <w:p w:rsidR="00371087" w:rsidRDefault="00371087" w:rsidP="00371087">
      <w:pPr>
        <w:pStyle w:val="Listenabsatz"/>
      </w:pPr>
    </w:p>
    <w:p w:rsidR="00371087" w:rsidRPr="00371087" w:rsidRDefault="00CD4F6D" w:rsidP="00371087">
      <w:pPr>
        <w:pStyle w:val="Listenabsatz"/>
        <w:numPr>
          <w:ilvl w:val="0"/>
          <w:numId w:val="10"/>
        </w:numPr>
        <w:autoSpaceDE w:val="0"/>
        <w:autoSpaceDN w:val="0"/>
        <w:adjustRightInd w:val="0"/>
        <w:spacing w:after="0" w:line="240" w:lineRule="auto"/>
        <w:rPr>
          <w:rFonts w:cs="TimesTen-Bold"/>
          <w:bCs/>
        </w:rPr>
      </w:pPr>
      <w:r w:rsidRPr="00CD4F6D">
        <w:rPr>
          <w:b/>
        </w:rPr>
        <w:t>Haupttreiber des BIP pro Kopf:</w:t>
      </w:r>
      <w:r>
        <w:t xml:space="preserve"> </w:t>
      </w:r>
      <w:r w:rsidR="00371087" w:rsidRPr="00371087">
        <w:t xml:space="preserve">Der Haupttreiber für das Wachstum des BIP pro Kopf war die Produktivität, welche stark angestiegen ist (insbesondere dank des technischen Fortschritts). Seit Ausbruch der Finanzkrise im Jahr 2008 ist das Wachstum der Produktivität relativ schwach und deshalb ein Kernpunkt in der Wachstumspolitik des Bundesrates. </w:t>
      </w:r>
    </w:p>
    <w:p w:rsidR="00371087" w:rsidRDefault="00371087" w:rsidP="00371087">
      <w:pPr>
        <w:pStyle w:val="Listenabsatz"/>
      </w:pPr>
    </w:p>
    <w:p w:rsidR="00371087" w:rsidRPr="00371087" w:rsidRDefault="00CD4F6D" w:rsidP="00371087">
      <w:pPr>
        <w:pStyle w:val="Listenabsatz"/>
        <w:numPr>
          <w:ilvl w:val="0"/>
          <w:numId w:val="10"/>
        </w:numPr>
        <w:autoSpaceDE w:val="0"/>
        <w:autoSpaceDN w:val="0"/>
        <w:adjustRightInd w:val="0"/>
        <w:spacing w:after="0" w:line="240" w:lineRule="auto"/>
        <w:rPr>
          <w:rFonts w:cs="TimesTen-Bold"/>
          <w:bCs/>
        </w:rPr>
      </w:pPr>
      <w:r w:rsidRPr="00CD4F6D">
        <w:rPr>
          <w:b/>
        </w:rPr>
        <w:t>Grenzen des Wachstums:</w:t>
      </w:r>
      <w:r>
        <w:t xml:space="preserve"> </w:t>
      </w:r>
      <w:r w:rsidR="00371087" w:rsidRPr="00371087">
        <w:t xml:space="preserve">Wachstumsgrenzen durch die Bevölkerungsvermehrung und der dadurch steigende Bedarf Rohstoffen und Umweltgütern. Allerdings verändern sich mit zunehmender Knappheit auch der Umgang mit diesen Ressourcen und die Suche nach Substituten. Ein wichtiger Treiber für „unbegrenztes“ Wachstum ist der technische Fortschritt. </w:t>
      </w:r>
    </w:p>
    <w:p w:rsidR="00371087" w:rsidRDefault="00371087" w:rsidP="00371087">
      <w:pPr>
        <w:pStyle w:val="Default"/>
        <w:ind w:left="720"/>
      </w:pPr>
    </w:p>
    <w:p w:rsidR="00371087" w:rsidRPr="00CD4F6D" w:rsidRDefault="00371087" w:rsidP="00604289">
      <w:pPr>
        <w:pStyle w:val="Default"/>
        <w:numPr>
          <w:ilvl w:val="0"/>
          <w:numId w:val="10"/>
        </w:numPr>
        <w:spacing w:after="120"/>
        <w:rPr>
          <w:b/>
          <w:sz w:val="22"/>
          <w:szCs w:val="22"/>
        </w:rPr>
      </w:pPr>
      <w:r w:rsidRPr="00CD4F6D">
        <w:rPr>
          <w:b/>
          <w:sz w:val="22"/>
          <w:szCs w:val="22"/>
        </w:rPr>
        <w:t xml:space="preserve">Instrumente zur Förderung einer nachhaltigen Entwicklung und ihre Beurteilung: </w:t>
      </w:r>
    </w:p>
    <w:p w:rsidR="00371087" w:rsidRDefault="00371087" w:rsidP="00604289">
      <w:pPr>
        <w:pStyle w:val="Default"/>
        <w:spacing w:after="120"/>
        <w:ind w:left="720"/>
        <w:rPr>
          <w:sz w:val="22"/>
          <w:szCs w:val="22"/>
        </w:rPr>
      </w:pPr>
      <w:r>
        <w:rPr>
          <w:sz w:val="22"/>
          <w:szCs w:val="22"/>
        </w:rPr>
        <w:t xml:space="preserve">a) </w:t>
      </w:r>
      <w:r>
        <w:rPr>
          <w:b/>
          <w:bCs/>
          <w:sz w:val="22"/>
          <w:szCs w:val="22"/>
        </w:rPr>
        <w:t xml:space="preserve">Verbote / Gebote: </w:t>
      </w:r>
      <w:r>
        <w:rPr>
          <w:sz w:val="22"/>
          <w:szCs w:val="22"/>
        </w:rPr>
        <w:t xml:space="preserve">Überwachungsaufwand. Fehlende Anreize sich ökologischer zu verhalten, als dass die Ge- und Verbote es verlangen. </w:t>
      </w:r>
    </w:p>
    <w:p w:rsidR="00371087" w:rsidRDefault="00371087" w:rsidP="00604289">
      <w:pPr>
        <w:pStyle w:val="Default"/>
        <w:spacing w:after="120"/>
        <w:ind w:left="720"/>
        <w:rPr>
          <w:sz w:val="22"/>
          <w:szCs w:val="22"/>
        </w:rPr>
      </w:pPr>
      <w:r>
        <w:rPr>
          <w:sz w:val="22"/>
          <w:szCs w:val="22"/>
        </w:rPr>
        <w:t xml:space="preserve">b) </w:t>
      </w:r>
      <w:r>
        <w:rPr>
          <w:b/>
          <w:bCs/>
          <w:sz w:val="22"/>
          <w:szCs w:val="22"/>
        </w:rPr>
        <w:t xml:space="preserve">Lenkungsabgaben: </w:t>
      </w:r>
      <w:r>
        <w:rPr>
          <w:sz w:val="22"/>
          <w:szCs w:val="22"/>
        </w:rPr>
        <w:t xml:space="preserve">Belohnung von umweltgerechtem Verhalten – Umweltverschmutzer bezahlen. Kostenbestimmung muss nicht vorgenommen werden (Festlegung von Grenzwerten für Schadstoffe und Abgabesatz); Markt bestimmt in Abhängigkeit des Abgabesatzes das Ausmass der Verhaltensänderung. Keine zusätzliche Einnahmequelle für den Staat (volle Rückerstattung). </w:t>
      </w:r>
    </w:p>
    <w:p w:rsidR="00371087" w:rsidRDefault="00371087" w:rsidP="00604289">
      <w:pPr>
        <w:pStyle w:val="Default"/>
        <w:spacing w:after="120"/>
        <w:ind w:left="720"/>
        <w:rPr>
          <w:sz w:val="22"/>
          <w:szCs w:val="22"/>
        </w:rPr>
      </w:pPr>
      <w:r>
        <w:rPr>
          <w:sz w:val="22"/>
          <w:szCs w:val="22"/>
        </w:rPr>
        <w:t xml:space="preserve">c) </w:t>
      </w:r>
      <w:r>
        <w:rPr>
          <w:b/>
          <w:bCs/>
          <w:sz w:val="22"/>
          <w:szCs w:val="22"/>
        </w:rPr>
        <w:t xml:space="preserve">Umweltzertifikate: </w:t>
      </w:r>
      <w:r>
        <w:rPr>
          <w:sz w:val="22"/>
          <w:szCs w:val="22"/>
        </w:rPr>
        <w:t xml:space="preserve">Der Staat verteilt die zulässige Umweltbelastung auf Zertifikate (Belastungsrechte). Wer die Umwelt belastet, muss sich die dafür notwendigen Umweltzertifikate kaufen. Wer Umweltschutzmassnahmen einführt, braucht weniger Zertifikate und kann sie verkaufen. Umweltschutz wird also «belohnt», Umweltverschmutzung kostet. </w:t>
      </w:r>
    </w:p>
    <w:p w:rsidR="00604289" w:rsidRDefault="00604289" w:rsidP="00604289">
      <w:pPr>
        <w:pStyle w:val="Default"/>
        <w:ind w:left="720"/>
      </w:pPr>
    </w:p>
    <w:p w:rsidR="00604289" w:rsidRDefault="00CD4F6D" w:rsidP="00604289">
      <w:pPr>
        <w:pStyle w:val="Default"/>
        <w:numPr>
          <w:ilvl w:val="0"/>
          <w:numId w:val="10"/>
        </w:numPr>
        <w:rPr>
          <w:sz w:val="22"/>
          <w:szCs w:val="22"/>
        </w:rPr>
      </w:pPr>
      <w:bookmarkStart w:id="0" w:name="_GoBack"/>
      <w:r w:rsidRPr="00CD4F6D">
        <w:rPr>
          <w:b/>
          <w:sz w:val="22"/>
          <w:szCs w:val="22"/>
        </w:rPr>
        <w:t>Globale Umweltabgaben:</w:t>
      </w:r>
      <w:bookmarkEnd w:id="0"/>
      <w:r>
        <w:rPr>
          <w:sz w:val="22"/>
          <w:szCs w:val="22"/>
        </w:rPr>
        <w:t xml:space="preserve"> </w:t>
      </w:r>
      <w:r w:rsidR="00604289">
        <w:rPr>
          <w:sz w:val="22"/>
          <w:szCs w:val="22"/>
        </w:rPr>
        <w:t xml:space="preserve">Viele Umweltprobleme weisen einen globalen Charakter auf (z.B. die Belastung der Ozonschicht) und können deshalb nur gemeinsam gelöst werden. Für die stufenweise Einführung spricht der Umstand, dass Umweltabgaben einen Strukturwandel auslösen, welcher nicht von heute auf morgen bewerkstelligt werden kann, ohne negative Auswirkungen (z.B. auf die Arbeitsplätze) in Kauf nehmen zu müssen. </w:t>
      </w:r>
    </w:p>
    <w:p w:rsidR="00371087" w:rsidRPr="00604289" w:rsidRDefault="00371087" w:rsidP="00604289">
      <w:pPr>
        <w:pStyle w:val="Listenabsatz"/>
        <w:autoSpaceDE w:val="0"/>
        <w:autoSpaceDN w:val="0"/>
        <w:adjustRightInd w:val="0"/>
        <w:spacing w:after="0" w:line="240" w:lineRule="auto"/>
        <w:rPr>
          <w:rFonts w:cs="TimesTen-Bold"/>
          <w:bCs/>
        </w:rPr>
      </w:pPr>
    </w:p>
    <w:p w:rsidR="00DD669A" w:rsidRPr="009833DA" w:rsidRDefault="00DD669A" w:rsidP="009833DA"/>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25"/>
  </w:num>
  <w:num w:numId="5">
    <w:abstractNumId w:val="28"/>
  </w:num>
  <w:num w:numId="6">
    <w:abstractNumId w:val="22"/>
  </w:num>
  <w:num w:numId="7">
    <w:abstractNumId w:val="4"/>
  </w:num>
  <w:num w:numId="8">
    <w:abstractNumId w:val="6"/>
  </w:num>
  <w:num w:numId="9">
    <w:abstractNumId w:val="9"/>
  </w:num>
  <w:num w:numId="10">
    <w:abstractNumId w:val="32"/>
  </w:num>
  <w:num w:numId="11">
    <w:abstractNumId w:val="27"/>
  </w:num>
  <w:num w:numId="12">
    <w:abstractNumId w:val="13"/>
  </w:num>
  <w:num w:numId="13">
    <w:abstractNumId w:val="11"/>
  </w:num>
  <w:num w:numId="14">
    <w:abstractNumId w:val="33"/>
  </w:num>
  <w:num w:numId="15">
    <w:abstractNumId w:val="14"/>
  </w:num>
  <w:num w:numId="16">
    <w:abstractNumId w:val="17"/>
  </w:num>
  <w:num w:numId="17">
    <w:abstractNumId w:val="7"/>
  </w:num>
  <w:num w:numId="18">
    <w:abstractNumId w:val="1"/>
  </w:num>
  <w:num w:numId="19">
    <w:abstractNumId w:val="8"/>
  </w:num>
  <w:num w:numId="20">
    <w:abstractNumId w:val="26"/>
  </w:num>
  <w:num w:numId="21">
    <w:abstractNumId w:val="10"/>
  </w:num>
  <w:num w:numId="22">
    <w:abstractNumId w:val="23"/>
  </w:num>
  <w:num w:numId="23">
    <w:abstractNumId w:val="19"/>
  </w:num>
  <w:num w:numId="24">
    <w:abstractNumId w:val="21"/>
  </w:num>
  <w:num w:numId="25">
    <w:abstractNumId w:val="30"/>
  </w:num>
  <w:num w:numId="26">
    <w:abstractNumId w:val="3"/>
  </w:num>
  <w:num w:numId="27">
    <w:abstractNumId w:val="31"/>
  </w:num>
  <w:num w:numId="28">
    <w:abstractNumId w:val="5"/>
  </w:num>
  <w:num w:numId="29">
    <w:abstractNumId w:val="16"/>
  </w:num>
  <w:num w:numId="30">
    <w:abstractNumId w:val="15"/>
  </w:num>
  <w:num w:numId="31">
    <w:abstractNumId w:val="2"/>
  </w:num>
  <w:num w:numId="32">
    <w:abstractNumId w:val="29"/>
  </w:num>
  <w:num w:numId="33">
    <w:abstractNumId w:val="20"/>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33D66"/>
    <w:rsid w:val="00033E32"/>
    <w:rsid w:val="000418F7"/>
    <w:rsid w:val="00041EE4"/>
    <w:rsid w:val="00072B69"/>
    <w:rsid w:val="0007659D"/>
    <w:rsid w:val="000A3388"/>
    <w:rsid w:val="000E4EF7"/>
    <w:rsid w:val="000F376B"/>
    <w:rsid w:val="001748D8"/>
    <w:rsid w:val="00207F6B"/>
    <w:rsid w:val="0025305C"/>
    <w:rsid w:val="0025381B"/>
    <w:rsid w:val="002C3627"/>
    <w:rsid w:val="002D7FA2"/>
    <w:rsid w:val="00324644"/>
    <w:rsid w:val="00367632"/>
    <w:rsid w:val="00371087"/>
    <w:rsid w:val="003730AA"/>
    <w:rsid w:val="0038088B"/>
    <w:rsid w:val="00391839"/>
    <w:rsid w:val="003A5881"/>
    <w:rsid w:val="003D16B0"/>
    <w:rsid w:val="003D2BBC"/>
    <w:rsid w:val="003F0AE1"/>
    <w:rsid w:val="004109B4"/>
    <w:rsid w:val="0043794E"/>
    <w:rsid w:val="004811F7"/>
    <w:rsid w:val="004A526C"/>
    <w:rsid w:val="004C5E96"/>
    <w:rsid w:val="0052632F"/>
    <w:rsid w:val="00532F1B"/>
    <w:rsid w:val="005406FA"/>
    <w:rsid w:val="00542D6F"/>
    <w:rsid w:val="005F103A"/>
    <w:rsid w:val="00604289"/>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802BA5"/>
    <w:rsid w:val="00812DE8"/>
    <w:rsid w:val="00855BAD"/>
    <w:rsid w:val="0088268E"/>
    <w:rsid w:val="00951DC3"/>
    <w:rsid w:val="00957AA6"/>
    <w:rsid w:val="0097638C"/>
    <w:rsid w:val="009833DA"/>
    <w:rsid w:val="009D274B"/>
    <w:rsid w:val="009E29A5"/>
    <w:rsid w:val="00A2055F"/>
    <w:rsid w:val="00B07287"/>
    <w:rsid w:val="00B16382"/>
    <w:rsid w:val="00B415E0"/>
    <w:rsid w:val="00B54813"/>
    <w:rsid w:val="00B62E12"/>
    <w:rsid w:val="00B92A21"/>
    <w:rsid w:val="00B9733B"/>
    <w:rsid w:val="00C65488"/>
    <w:rsid w:val="00C81DEF"/>
    <w:rsid w:val="00C952D4"/>
    <w:rsid w:val="00CB0D83"/>
    <w:rsid w:val="00CB6625"/>
    <w:rsid w:val="00CD4F6D"/>
    <w:rsid w:val="00CE5DEB"/>
    <w:rsid w:val="00CF4755"/>
    <w:rsid w:val="00D11EA0"/>
    <w:rsid w:val="00D3344E"/>
    <w:rsid w:val="00D82F27"/>
    <w:rsid w:val="00D97BE8"/>
    <w:rsid w:val="00DC77A7"/>
    <w:rsid w:val="00DD669A"/>
    <w:rsid w:val="00DF04AC"/>
    <w:rsid w:val="00E2704F"/>
    <w:rsid w:val="00E76554"/>
    <w:rsid w:val="00E97C47"/>
    <w:rsid w:val="00EA38AA"/>
    <w:rsid w:val="00EB3BB8"/>
    <w:rsid w:val="00EF4DE2"/>
    <w:rsid w:val="00F11718"/>
    <w:rsid w:val="00F14B72"/>
    <w:rsid w:val="00F36267"/>
    <w:rsid w:val="00F402C5"/>
    <w:rsid w:val="00F40825"/>
    <w:rsid w:val="00F42FBD"/>
    <w:rsid w:val="00F710E2"/>
    <w:rsid w:val="00F870FA"/>
    <w:rsid w:val="00FB5BD4"/>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168C"/>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371087"/>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0177-D14F-43D6-97F8-22DA1462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3</cp:revision>
  <dcterms:created xsi:type="dcterms:W3CDTF">2018-05-04T11:50:00Z</dcterms:created>
  <dcterms:modified xsi:type="dcterms:W3CDTF">2018-05-04T14:54:00Z</dcterms:modified>
</cp:coreProperties>
</file>