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Lösungen</w:t>
      </w: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P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  <w:sz w:val="32"/>
          <w:szCs w:val="32"/>
        </w:rPr>
        <w:t xml:space="preserve">Repetitionsaufgaben </w:t>
      </w:r>
    </w:p>
    <w:p w:rsidR="000A3388" w:rsidRPr="000A3388" w:rsidRDefault="000A3388" w:rsidP="000A3388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Default="0002178F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Kapitel 6</w:t>
      </w:r>
    </w:p>
    <w:p w:rsidR="000A3388" w:rsidRDefault="000A3388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0A3388" w:rsidRDefault="00A266A1" w:rsidP="0097638C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Bold"/>
          <w:bCs/>
        </w:rPr>
        <w:t xml:space="preserve">Zuordnung von </w:t>
      </w:r>
      <w:r w:rsidRPr="0080173B">
        <w:rPr>
          <w:rFonts w:cs="TimesTen-Bold"/>
          <w:b/>
          <w:bCs/>
        </w:rPr>
        <w:t>Aussagen zu Lehrmeinungen</w:t>
      </w:r>
      <w:r>
        <w:rPr>
          <w:rFonts w:cs="TimesTen-Bold"/>
          <w:bCs/>
        </w:rPr>
        <w:t>:</w:t>
      </w:r>
    </w:p>
    <w:p w:rsidR="000A3388" w:rsidRP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Klassische Konzeption</w:t>
      </w:r>
    </w:p>
    <w:p w:rsidR="000A3388" w:rsidRP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Angebotsökonomie</w:t>
      </w:r>
    </w:p>
    <w:p w:rsidR="000A3388" w:rsidRP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Keynesianische Konzeption</w:t>
      </w:r>
    </w:p>
    <w:p w:rsidR="000A3388" w:rsidRP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Angebotsökonomie</w:t>
      </w:r>
    </w:p>
    <w:p w:rsidR="000A3388" w:rsidRP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Keynesianische Konzeption</w:t>
      </w:r>
    </w:p>
    <w:p w:rsidR="000A3388" w:rsidRPr="000A3388" w:rsidRDefault="00D3344E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>
        <w:rPr>
          <w:rFonts w:cs="TimesTen-Roman"/>
        </w:rPr>
        <w:t>Angeb</w:t>
      </w:r>
      <w:r w:rsidR="000A3388" w:rsidRPr="000A3388">
        <w:rPr>
          <w:rFonts w:cs="TimesTen-Roman"/>
        </w:rPr>
        <w:t>otsökonomie</w:t>
      </w:r>
    </w:p>
    <w:p w:rsidR="000A3388" w:rsidRP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Monetaristische Konzeption</w:t>
      </w:r>
    </w:p>
    <w:p w:rsid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Klassische Konzeption</w:t>
      </w:r>
    </w:p>
    <w:p w:rsidR="000A3388" w:rsidRPr="000A3388" w:rsidRDefault="000A3388" w:rsidP="009763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0A3388">
        <w:rPr>
          <w:rFonts w:cs="TimesTen-Roman"/>
        </w:rPr>
        <w:t>Monetaristische Konzeption</w:t>
      </w:r>
    </w:p>
    <w:p w:rsidR="000A3388" w:rsidRDefault="000A3388" w:rsidP="000A3388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0A3388" w:rsidRDefault="00A266A1" w:rsidP="00A266A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 w:hanging="349"/>
        <w:contextualSpacing w:val="0"/>
        <w:rPr>
          <w:rFonts w:cs="TimesTen-Bold"/>
          <w:bCs/>
        </w:rPr>
      </w:pPr>
      <w:r>
        <w:rPr>
          <w:rFonts w:cs="TimesTen-Bold"/>
          <w:bCs/>
        </w:rPr>
        <w:t xml:space="preserve">a) Zentrale </w:t>
      </w:r>
      <w:r w:rsidRPr="00A266A1">
        <w:rPr>
          <w:rFonts w:cs="TimesTen-Bold"/>
          <w:b/>
          <w:bCs/>
        </w:rPr>
        <w:t>Problemstellung</w:t>
      </w:r>
      <w:r>
        <w:rPr>
          <w:rFonts w:cs="TimesTen-Bold"/>
          <w:bCs/>
        </w:rPr>
        <w:t xml:space="preserve"> der unterschiedlichen Lehrmeinungen:</w:t>
      </w:r>
    </w:p>
    <w:p w:rsidR="00A266A1" w:rsidRDefault="000A3388" w:rsidP="00A266A1">
      <w:pPr>
        <w:pStyle w:val="Listenabsatz"/>
        <w:autoSpaceDE w:val="0"/>
        <w:autoSpaceDN w:val="0"/>
        <w:adjustRightInd w:val="0"/>
        <w:spacing w:after="120" w:line="240" w:lineRule="auto"/>
        <w:ind w:left="993"/>
        <w:contextualSpacing w:val="0"/>
        <w:rPr>
          <w:rFonts w:cs="TimesTen-Roman"/>
        </w:rPr>
      </w:pPr>
      <w:r w:rsidRPr="00FB27F9">
        <w:rPr>
          <w:rFonts w:cs="TimesTen-Roman"/>
          <w:b/>
        </w:rPr>
        <w:t>Keynesianer:</w:t>
      </w:r>
      <w:r w:rsidRPr="000A3388">
        <w:rPr>
          <w:rFonts w:cs="TimesTen-Roman"/>
        </w:rPr>
        <w:t xml:space="preserve"> Konjunkturelle Arbeitslosigkeit</w:t>
      </w:r>
    </w:p>
    <w:p w:rsidR="00A266A1" w:rsidRDefault="000A3388" w:rsidP="00A266A1">
      <w:pPr>
        <w:pStyle w:val="Listenabsatz"/>
        <w:autoSpaceDE w:val="0"/>
        <w:autoSpaceDN w:val="0"/>
        <w:adjustRightInd w:val="0"/>
        <w:spacing w:after="120" w:line="240" w:lineRule="auto"/>
        <w:ind w:left="993"/>
        <w:contextualSpacing w:val="0"/>
        <w:rPr>
          <w:rFonts w:cs="TimesTen-Roman"/>
        </w:rPr>
      </w:pPr>
      <w:r w:rsidRPr="00FB27F9">
        <w:rPr>
          <w:rFonts w:cs="TimesTen-Roman"/>
          <w:b/>
        </w:rPr>
        <w:t>Monetaristen:</w:t>
      </w:r>
      <w:r w:rsidRPr="000A3388">
        <w:rPr>
          <w:rFonts w:cs="TimesTen-Roman"/>
        </w:rPr>
        <w:t xml:space="preserve"> Konjunkturelle Inflation</w:t>
      </w:r>
    </w:p>
    <w:p w:rsidR="000A3388" w:rsidRDefault="000A3388" w:rsidP="00A266A1">
      <w:pPr>
        <w:pStyle w:val="Listenabsatz"/>
        <w:autoSpaceDE w:val="0"/>
        <w:autoSpaceDN w:val="0"/>
        <w:adjustRightInd w:val="0"/>
        <w:spacing w:after="120" w:line="240" w:lineRule="auto"/>
        <w:ind w:left="993"/>
        <w:contextualSpacing w:val="0"/>
        <w:rPr>
          <w:rFonts w:cs="TimesTen-Roman"/>
        </w:rPr>
      </w:pPr>
      <w:r w:rsidRPr="00FB27F9">
        <w:rPr>
          <w:rFonts w:cs="TimesTen-Roman"/>
          <w:b/>
        </w:rPr>
        <w:t>Angebotsökonomen:</w:t>
      </w:r>
      <w:r w:rsidRPr="000A3388">
        <w:rPr>
          <w:rFonts w:cs="TimesTen-Roman"/>
        </w:rPr>
        <w:t xml:space="preserve"> Stagflation.</w:t>
      </w:r>
    </w:p>
    <w:p w:rsidR="00FB27F9" w:rsidRPr="00A266A1" w:rsidRDefault="00FB27F9" w:rsidP="00FB27F9">
      <w:pPr>
        <w:pStyle w:val="Listenabsatz"/>
        <w:autoSpaceDE w:val="0"/>
        <w:autoSpaceDN w:val="0"/>
        <w:adjustRightInd w:val="0"/>
        <w:spacing w:after="0" w:line="240" w:lineRule="auto"/>
        <w:ind w:left="1140"/>
        <w:rPr>
          <w:rFonts w:cs="TimesTen-Roman"/>
        </w:rPr>
      </w:pPr>
    </w:p>
    <w:p w:rsidR="00A266A1" w:rsidRPr="00A266A1" w:rsidRDefault="00A266A1" w:rsidP="00A266A1">
      <w:pPr>
        <w:autoSpaceDE w:val="0"/>
        <w:autoSpaceDN w:val="0"/>
        <w:adjustRightInd w:val="0"/>
        <w:spacing w:after="120" w:line="240" w:lineRule="auto"/>
        <w:ind w:left="709"/>
        <w:rPr>
          <w:rFonts w:cs="TimesTen-Roman"/>
        </w:rPr>
      </w:pPr>
      <w:r>
        <w:rPr>
          <w:rFonts w:cs="TimesTen-Roman"/>
        </w:rPr>
        <w:t xml:space="preserve">b) </w:t>
      </w:r>
      <w:r w:rsidRPr="00A266A1">
        <w:rPr>
          <w:rFonts w:cs="TimesTen-Roman"/>
          <w:b/>
        </w:rPr>
        <w:t>Therapien</w:t>
      </w:r>
      <w:r>
        <w:rPr>
          <w:rFonts w:cs="TimesTen-Roman"/>
        </w:rPr>
        <w:t xml:space="preserve"> </w:t>
      </w:r>
      <w:proofErr w:type="spellStart"/>
      <w:r>
        <w:rPr>
          <w:rFonts w:cs="TimesTen-Roman"/>
        </w:rPr>
        <w:t>gemäss</w:t>
      </w:r>
      <w:proofErr w:type="spellEnd"/>
      <w:r>
        <w:rPr>
          <w:rFonts w:cs="TimesTen-Roman"/>
        </w:rPr>
        <w:t xml:space="preserve"> den unterschiedlichen Lehrmeinungen:</w:t>
      </w:r>
    </w:p>
    <w:p w:rsidR="00FB27F9" w:rsidRPr="00A266A1" w:rsidRDefault="000A3388" w:rsidP="00A266A1">
      <w:pPr>
        <w:pStyle w:val="Listenabsatz"/>
        <w:autoSpaceDE w:val="0"/>
        <w:autoSpaceDN w:val="0"/>
        <w:adjustRightInd w:val="0"/>
        <w:spacing w:after="120" w:line="240" w:lineRule="auto"/>
        <w:ind w:left="993"/>
        <w:rPr>
          <w:rFonts w:cs="TimesTen-Roman"/>
        </w:rPr>
      </w:pPr>
      <w:r w:rsidRPr="00A266A1">
        <w:rPr>
          <w:rFonts w:cs="TimesTen-Roman"/>
          <w:b/>
        </w:rPr>
        <w:t>Keynesianer:</w:t>
      </w:r>
      <w:r w:rsidRPr="00A266A1">
        <w:rPr>
          <w:rFonts w:cs="TimesTen-Roman"/>
        </w:rPr>
        <w:t xml:space="preserve"> Antizyklische Finanzpolitik, Konjunkturpolitik ist primär Sache des Staates. </w:t>
      </w:r>
    </w:p>
    <w:p w:rsidR="00FB27F9" w:rsidRPr="00A266A1" w:rsidRDefault="000A3388" w:rsidP="00A266A1">
      <w:pPr>
        <w:autoSpaceDE w:val="0"/>
        <w:autoSpaceDN w:val="0"/>
        <w:adjustRightInd w:val="0"/>
        <w:spacing w:after="120" w:line="240" w:lineRule="auto"/>
        <w:ind w:left="993"/>
        <w:rPr>
          <w:rFonts w:cs="TimesTen-Roman"/>
        </w:rPr>
      </w:pPr>
      <w:r w:rsidRPr="00A266A1">
        <w:rPr>
          <w:rFonts w:cs="TimesTen-Roman"/>
          <w:b/>
        </w:rPr>
        <w:t>Monetaristen:</w:t>
      </w:r>
      <w:r w:rsidRPr="00A266A1">
        <w:rPr>
          <w:rFonts w:cs="TimesTen-Roman"/>
        </w:rPr>
        <w:t xml:space="preserve"> Das Geldmengenwachstum ist auf das Wachstum des Produktionspotenzials auszurichten; Konzentration auf die Geldpolitik. </w:t>
      </w:r>
    </w:p>
    <w:p w:rsidR="000A3388" w:rsidRPr="00FB27F9" w:rsidRDefault="000A3388" w:rsidP="00A266A1">
      <w:pPr>
        <w:autoSpaceDE w:val="0"/>
        <w:autoSpaceDN w:val="0"/>
        <w:adjustRightInd w:val="0"/>
        <w:spacing w:after="120" w:line="240" w:lineRule="auto"/>
        <w:ind w:left="993"/>
        <w:rPr>
          <w:rFonts w:cs="TimesTen-Roman"/>
        </w:rPr>
      </w:pPr>
      <w:r w:rsidRPr="00FB27F9">
        <w:rPr>
          <w:rFonts w:cs="TimesTen-Roman"/>
          <w:b/>
        </w:rPr>
        <w:t>Angebotsökonomen:</w:t>
      </w:r>
      <w:r w:rsidRPr="00FB27F9">
        <w:rPr>
          <w:rFonts w:cs="TimesTen-Roman"/>
        </w:rPr>
        <w:t xml:space="preserve"> Deregulierung und Abbau der Staatsquote (zu viel Staatsinterventionen), Entlastung der Unternehmer vom Kostendruck, Verbesserung der Rahmenbedingungen, Verstetigung der Geld- und Finanzpolitik.</w:t>
      </w:r>
    </w:p>
    <w:p w:rsidR="000A3388" w:rsidRDefault="000A3388" w:rsidP="000A3388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80173B" w:rsidRPr="0080173B" w:rsidRDefault="0080173B" w:rsidP="00FB27F9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TimesTen-Bold"/>
          <w:b/>
          <w:bCs/>
        </w:rPr>
      </w:pPr>
      <w:r w:rsidRPr="0080173B">
        <w:rPr>
          <w:rFonts w:cs="TimesTen-Bold"/>
          <w:b/>
          <w:bCs/>
        </w:rPr>
        <w:t>Kritik an den drei Denkschulen:</w:t>
      </w:r>
    </w:p>
    <w:p w:rsidR="00FB27F9" w:rsidRPr="00FB27F9" w:rsidRDefault="009833DA" w:rsidP="0080173B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TimesTen-Bold"/>
          <w:bCs/>
        </w:rPr>
      </w:pPr>
      <w:r w:rsidRPr="00FB27F9">
        <w:rPr>
          <w:rFonts w:cs="TimesTen-Roman"/>
          <w:b/>
        </w:rPr>
        <w:t>Keynesianer:</w:t>
      </w:r>
      <w:r w:rsidRPr="000A3388">
        <w:rPr>
          <w:rFonts w:cs="TimesTen-Roman"/>
        </w:rPr>
        <w:t xml:space="preserve"> Verzögerungen, Dosis, schwieriger Rückweg, Finanzierung der</w:t>
      </w:r>
      <w:r w:rsidR="000A3388">
        <w:rPr>
          <w:rFonts w:cs="TimesTen-Roman"/>
        </w:rPr>
        <w:t xml:space="preserve"> </w:t>
      </w:r>
      <w:r w:rsidRPr="000A3388">
        <w:rPr>
          <w:rFonts w:cs="TimesTen-Roman"/>
        </w:rPr>
        <w:t>Defizite (</w:t>
      </w:r>
      <w:proofErr w:type="spellStart"/>
      <w:r w:rsidRPr="000A3388">
        <w:rPr>
          <w:rFonts w:cs="TimesTen-Roman"/>
        </w:rPr>
        <w:t>crowding</w:t>
      </w:r>
      <w:proofErr w:type="spellEnd"/>
      <w:r w:rsidRPr="000A3388">
        <w:rPr>
          <w:rFonts w:cs="TimesTen-Roman"/>
        </w:rPr>
        <w:t>-out), rationale Erwartungen, Strukturerhaltung.</w:t>
      </w:r>
      <w:r w:rsidR="000A3388" w:rsidRPr="000A3388">
        <w:rPr>
          <w:rFonts w:cs="TimesTen-Roman"/>
        </w:rPr>
        <w:t xml:space="preserve"> </w:t>
      </w:r>
    </w:p>
    <w:p w:rsidR="00FB27F9" w:rsidRPr="00FB27F9" w:rsidRDefault="009833DA" w:rsidP="0080173B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TimesTen-Bold"/>
          <w:bCs/>
        </w:rPr>
      </w:pPr>
      <w:r w:rsidRPr="00FB27F9">
        <w:rPr>
          <w:rFonts w:cs="TimesTen-Roman"/>
          <w:b/>
        </w:rPr>
        <w:t>Monetaristen:</w:t>
      </w:r>
      <w:r w:rsidRPr="00FB27F9">
        <w:rPr>
          <w:rFonts w:cs="TimesTen-Roman"/>
        </w:rPr>
        <w:t xml:space="preserve"> Gratwanderung der Geldpolitik (Dosis, Zielkonflikte), Umlaufsgeschwindigkeit</w:t>
      </w:r>
      <w:r w:rsidR="000A3388" w:rsidRPr="00FB27F9">
        <w:rPr>
          <w:rFonts w:cs="TimesTen-Roman"/>
        </w:rPr>
        <w:t xml:space="preserve"> </w:t>
      </w:r>
      <w:r w:rsidRPr="00FB27F9">
        <w:rPr>
          <w:rFonts w:cs="TimesTen-Roman"/>
        </w:rPr>
        <w:t>ist nicht konstant, Erschwerung durch finanztechnische Innovationen</w:t>
      </w:r>
      <w:r w:rsidR="000A3388" w:rsidRPr="00FB27F9">
        <w:rPr>
          <w:rFonts w:cs="TimesTen-Roman"/>
        </w:rPr>
        <w:t xml:space="preserve"> </w:t>
      </w:r>
      <w:r w:rsidRPr="00FB27F9">
        <w:rPr>
          <w:rFonts w:cs="TimesTen-Roman"/>
        </w:rPr>
        <w:t>und grenzüberschreitende Finanzströme, politischer Druck.</w:t>
      </w:r>
    </w:p>
    <w:p w:rsidR="009833DA" w:rsidRPr="00FB27F9" w:rsidRDefault="009833DA" w:rsidP="0080173B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TimesTen-Roman"/>
        </w:rPr>
      </w:pPr>
      <w:bookmarkStart w:id="0" w:name="_GoBack"/>
      <w:bookmarkEnd w:id="0"/>
      <w:r w:rsidRPr="00FB27F9">
        <w:rPr>
          <w:rFonts w:cs="TimesTen-Roman"/>
          <w:b/>
        </w:rPr>
        <w:t>Angebotsökonomen:</w:t>
      </w:r>
      <w:r w:rsidRPr="00FB27F9">
        <w:rPr>
          <w:rFonts w:cs="TimesTen-Roman"/>
        </w:rPr>
        <w:t xml:space="preserve"> Politische Durchsetzbarkeit, Überschätzung der Selbstheilungskräfte</w:t>
      </w:r>
      <w:r w:rsidR="000A3388" w:rsidRPr="00FB27F9">
        <w:rPr>
          <w:rFonts w:cs="TimesTen-Roman"/>
        </w:rPr>
        <w:t xml:space="preserve"> </w:t>
      </w:r>
      <w:r w:rsidRPr="00FB27F9">
        <w:rPr>
          <w:rFonts w:cs="TimesTen-Roman"/>
        </w:rPr>
        <w:t xml:space="preserve">der Marktwirtschaft (Stärke und Geschwindigkeit der </w:t>
      </w:r>
      <w:proofErr w:type="spellStart"/>
      <w:r w:rsidRPr="00FB27F9">
        <w:rPr>
          <w:rFonts w:cs="TimesTen-Roman"/>
        </w:rPr>
        <w:t>Massnahmen</w:t>
      </w:r>
      <w:proofErr w:type="spellEnd"/>
      <w:r w:rsidRPr="00FB27F9">
        <w:rPr>
          <w:rFonts w:cs="TimesTen-Roman"/>
        </w:rPr>
        <w:t>),</w:t>
      </w:r>
      <w:r w:rsidR="000A3388" w:rsidRPr="00FB27F9">
        <w:rPr>
          <w:rFonts w:cs="TimesTen-Roman"/>
        </w:rPr>
        <w:t xml:space="preserve"> </w:t>
      </w:r>
      <w:r w:rsidRPr="00FB27F9">
        <w:rPr>
          <w:rFonts w:cs="TimesTen-Roman"/>
        </w:rPr>
        <w:t>Verteilungskonflikte,</w:t>
      </w:r>
      <w:r w:rsidR="00F870FA" w:rsidRPr="00FB27F9">
        <w:rPr>
          <w:rFonts w:cs="TimesTen-Roman"/>
        </w:rPr>
        <w:t xml:space="preserve"> </w:t>
      </w:r>
      <w:r w:rsidRPr="00FB27F9">
        <w:rPr>
          <w:rFonts w:cs="TimesTen-Roman"/>
        </w:rPr>
        <w:t>Widersprüche bezüglich Finanzpolitik.</w:t>
      </w:r>
    </w:p>
    <w:p w:rsidR="000A3388" w:rsidRDefault="000A3388" w:rsidP="000A3388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Roman"/>
        </w:rPr>
      </w:pPr>
    </w:p>
    <w:p w:rsidR="000A3388" w:rsidRPr="000A3388" w:rsidRDefault="000A3388" w:rsidP="000A3388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DD669A" w:rsidRPr="009833DA" w:rsidRDefault="00DD669A" w:rsidP="009833DA"/>
    <w:sectPr w:rsidR="00DD669A" w:rsidRPr="009833DA" w:rsidSect="00957A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18" w:rsidRDefault="00F11718" w:rsidP="00652B65">
      <w:pPr>
        <w:spacing w:after="0" w:line="240" w:lineRule="auto"/>
      </w:pPr>
      <w:r>
        <w:separator/>
      </w:r>
    </w:p>
  </w:endnote>
  <w:endnote w:type="continuationSeparator" w:id="0">
    <w:p w:rsidR="00F11718" w:rsidRDefault="00F11718" w:rsidP="0065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18" w:rsidRDefault="00F11718" w:rsidP="00652B65">
      <w:pPr>
        <w:spacing w:after="0" w:line="240" w:lineRule="auto"/>
      </w:pPr>
      <w:r>
        <w:separator/>
      </w:r>
    </w:p>
  </w:footnote>
  <w:footnote w:type="continuationSeparator" w:id="0">
    <w:p w:rsidR="00F11718" w:rsidRDefault="00F11718" w:rsidP="0065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18" w:rsidRPr="007419E2" w:rsidRDefault="00F11718">
    <w:pPr>
      <w:pStyle w:val="Kopfzeile"/>
      <w:pBdr>
        <w:bottom w:val="single" w:sz="12" w:space="1" w:color="auto"/>
      </w:pBdr>
      <w:rPr>
        <w:sz w:val="16"/>
        <w:szCs w:val="16"/>
        <w:lang w:val="de-CH"/>
      </w:rPr>
    </w:pPr>
    <w:r>
      <w:rPr>
        <w:sz w:val="16"/>
        <w:szCs w:val="16"/>
        <w:lang w:val="de-CH"/>
      </w:rPr>
      <w:t xml:space="preserve">Lösungen zu den Repetitionsfragen, </w:t>
    </w:r>
    <w:r w:rsidRPr="00F36267">
      <w:rPr>
        <w:sz w:val="16"/>
        <w:szCs w:val="16"/>
        <w:lang w:val="de-CH"/>
      </w:rPr>
      <w:t>Aktuelle Volkswirtschaftslehre, Peter Eisenhut</w:t>
    </w:r>
    <w:r>
      <w:rPr>
        <w:lang w:val="de-CH"/>
      </w:rPr>
      <w:tab/>
    </w:r>
    <w:r w:rsidRPr="00F36267">
      <w:rPr>
        <w:noProof/>
        <w:lang w:eastAsia="de-DE"/>
      </w:rPr>
      <w:drawing>
        <wp:inline distT="0" distB="0" distL="0" distR="0">
          <wp:extent cx="300654" cy="318052"/>
          <wp:effectExtent l="19050" t="0" r="4146" b="0"/>
          <wp:docPr id="3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62" cy="32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11718" w:rsidRPr="00F36267" w:rsidRDefault="00F11718">
    <w:pPr>
      <w:pStyle w:val="Kopfzeile"/>
      <w:rPr>
        <w:lang w:val="de-CH"/>
      </w:rPr>
    </w:pP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47B"/>
    <w:multiLevelType w:val="hybridMultilevel"/>
    <w:tmpl w:val="B4FE198C"/>
    <w:lvl w:ilvl="0" w:tplc="28A491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8061A"/>
    <w:multiLevelType w:val="hybridMultilevel"/>
    <w:tmpl w:val="9F1C83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A86"/>
    <w:multiLevelType w:val="hybridMultilevel"/>
    <w:tmpl w:val="A03EE02C"/>
    <w:lvl w:ilvl="0" w:tplc="F6F0017E">
      <w:start w:val="1"/>
      <w:numFmt w:val="lowerLetter"/>
      <w:lvlText w:val="%1)"/>
      <w:lvlJc w:val="left"/>
      <w:pPr>
        <w:ind w:left="1069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9B274A"/>
    <w:multiLevelType w:val="hybridMultilevel"/>
    <w:tmpl w:val="F11412BC"/>
    <w:lvl w:ilvl="0" w:tplc="B2EC8B8C">
      <w:start w:val="1"/>
      <w:numFmt w:val="lowerLetter"/>
      <w:lvlText w:val="%1)"/>
      <w:lvlJc w:val="left"/>
      <w:pPr>
        <w:ind w:left="144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304A7"/>
    <w:multiLevelType w:val="hybridMultilevel"/>
    <w:tmpl w:val="24E6DB34"/>
    <w:lvl w:ilvl="0" w:tplc="209C4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A0DB8"/>
    <w:multiLevelType w:val="hybridMultilevel"/>
    <w:tmpl w:val="43EE6DBC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00E03"/>
    <w:multiLevelType w:val="hybridMultilevel"/>
    <w:tmpl w:val="D26645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C1E33"/>
    <w:multiLevelType w:val="hybridMultilevel"/>
    <w:tmpl w:val="7BB6647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6235B"/>
    <w:multiLevelType w:val="hybridMultilevel"/>
    <w:tmpl w:val="14C4E2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47DE"/>
    <w:multiLevelType w:val="hybridMultilevel"/>
    <w:tmpl w:val="31B68BEA"/>
    <w:lvl w:ilvl="0" w:tplc="73F60B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Ten-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2909B1"/>
    <w:multiLevelType w:val="hybridMultilevel"/>
    <w:tmpl w:val="4B322784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10B13"/>
    <w:multiLevelType w:val="hybridMultilevel"/>
    <w:tmpl w:val="CDA863A6"/>
    <w:lvl w:ilvl="0" w:tplc="9B987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42A03"/>
    <w:multiLevelType w:val="hybridMultilevel"/>
    <w:tmpl w:val="DE3E96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5165"/>
    <w:multiLevelType w:val="hybridMultilevel"/>
    <w:tmpl w:val="FBC8A9A8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358C"/>
    <w:multiLevelType w:val="hybridMultilevel"/>
    <w:tmpl w:val="1960C54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0F68F4"/>
    <w:multiLevelType w:val="hybridMultilevel"/>
    <w:tmpl w:val="E054ABD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DE9"/>
    <w:multiLevelType w:val="hybridMultilevel"/>
    <w:tmpl w:val="C3C29A0A"/>
    <w:lvl w:ilvl="0" w:tplc="3720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76E13"/>
    <w:multiLevelType w:val="hybridMultilevel"/>
    <w:tmpl w:val="43047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4A9A"/>
    <w:multiLevelType w:val="hybridMultilevel"/>
    <w:tmpl w:val="3DC64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B4232"/>
    <w:multiLevelType w:val="hybridMultilevel"/>
    <w:tmpl w:val="459A73E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0A72E9"/>
    <w:multiLevelType w:val="hybridMultilevel"/>
    <w:tmpl w:val="68AE43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3E65"/>
    <w:multiLevelType w:val="hybridMultilevel"/>
    <w:tmpl w:val="6F44096A"/>
    <w:lvl w:ilvl="0" w:tplc="9E968136">
      <w:start w:val="1"/>
      <w:numFmt w:val="lowerLetter"/>
      <w:lvlText w:val="%1)"/>
      <w:lvlJc w:val="left"/>
      <w:pPr>
        <w:ind w:left="1428" w:hanging="360"/>
      </w:pPr>
      <w:rPr>
        <w:rFonts w:cs="TimesTen-Roman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DA5073"/>
    <w:multiLevelType w:val="hybridMultilevel"/>
    <w:tmpl w:val="D2D8439E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B046B"/>
    <w:multiLevelType w:val="hybridMultilevel"/>
    <w:tmpl w:val="684249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45BAD"/>
    <w:multiLevelType w:val="hybridMultilevel"/>
    <w:tmpl w:val="A32ECB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65C05"/>
    <w:multiLevelType w:val="hybridMultilevel"/>
    <w:tmpl w:val="4532F5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C24D5"/>
    <w:multiLevelType w:val="hybridMultilevel"/>
    <w:tmpl w:val="5E30AC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86DEF"/>
    <w:multiLevelType w:val="hybridMultilevel"/>
    <w:tmpl w:val="58A62B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E5428"/>
    <w:multiLevelType w:val="hybridMultilevel"/>
    <w:tmpl w:val="1A2C487A"/>
    <w:lvl w:ilvl="0" w:tplc="209C4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9D56FD"/>
    <w:multiLevelType w:val="hybridMultilevel"/>
    <w:tmpl w:val="0290C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0B6"/>
    <w:multiLevelType w:val="hybridMultilevel"/>
    <w:tmpl w:val="F1EEB852"/>
    <w:lvl w:ilvl="0" w:tplc="67ACCD56">
      <w:start w:val="1"/>
      <w:numFmt w:val="lowerLetter"/>
      <w:lvlText w:val="%1)"/>
      <w:lvlJc w:val="left"/>
      <w:pPr>
        <w:ind w:left="1068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C95737"/>
    <w:multiLevelType w:val="hybridMultilevel"/>
    <w:tmpl w:val="98A6A55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17947"/>
    <w:multiLevelType w:val="hybridMultilevel"/>
    <w:tmpl w:val="BB9A7E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40CEB"/>
    <w:multiLevelType w:val="hybridMultilevel"/>
    <w:tmpl w:val="71D8C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344AD"/>
    <w:multiLevelType w:val="hybridMultilevel"/>
    <w:tmpl w:val="E7F8AEAE"/>
    <w:lvl w:ilvl="0" w:tplc="CA92F80E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E86980"/>
    <w:multiLevelType w:val="hybridMultilevel"/>
    <w:tmpl w:val="E670E5E4"/>
    <w:lvl w:ilvl="0" w:tplc="375AD5BA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D731CB"/>
    <w:multiLevelType w:val="hybridMultilevel"/>
    <w:tmpl w:val="FBC8D874"/>
    <w:lvl w:ilvl="0" w:tplc="3E581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26"/>
  </w:num>
  <w:num w:numId="5">
    <w:abstractNumId w:val="29"/>
  </w:num>
  <w:num w:numId="6">
    <w:abstractNumId w:val="23"/>
  </w:num>
  <w:num w:numId="7">
    <w:abstractNumId w:val="4"/>
  </w:num>
  <w:num w:numId="8">
    <w:abstractNumId w:val="6"/>
  </w:num>
  <w:num w:numId="9">
    <w:abstractNumId w:val="9"/>
  </w:num>
  <w:num w:numId="10">
    <w:abstractNumId w:val="33"/>
  </w:num>
  <w:num w:numId="11">
    <w:abstractNumId w:val="28"/>
  </w:num>
  <w:num w:numId="12">
    <w:abstractNumId w:val="13"/>
  </w:num>
  <w:num w:numId="13">
    <w:abstractNumId w:val="11"/>
  </w:num>
  <w:num w:numId="14">
    <w:abstractNumId w:val="36"/>
  </w:num>
  <w:num w:numId="15">
    <w:abstractNumId w:val="14"/>
  </w:num>
  <w:num w:numId="16">
    <w:abstractNumId w:val="17"/>
  </w:num>
  <w:num w:numId="17">
    <w:abstractNumId w:val="7"/>
  </w:num>
  <w:num w:numId="18">
    <w:abstractNumId w:val="1"/>
  </w:num>
  <w:num w:numId="19">
    <w:abstractNumId w:val="8"/>
  </w:num>
  <w:num w:numId="20">
    <w:abstractNumId w:val="27"/>
  </w:num>
  <w:num w:numId="21">
    <w:abstractNumId w:val="10"/>
  </w:num>
  <w:num w:numId="22">
    <w:abstractNumId w:val="24"/>
  </w:num>
  <w:num w:numId="23">
    <w:abstractNumId w:val="20"/>
  </w:num>
  <w:num w:numId="24">
    <w:abstractNumId w:val="22"/>
  </w:num>
  <w:num w:numId="25">
    <w:abstractNumId w:val="31"/>
  </w:num>
  <w:num w:numId="26">
    <w:abstractNumId w:val="3"/>
  </w:num>
  <w:num w:numId="27">
    <w:abstractNumId w:val="32"/>
  </w:num>
  <w:num w:numId="28">
    <w:abstractNumId w:val="5"/>
  </w:num>
  <w:num w:numId="29">
    <w:abstractNumId w:val="16"/>
  </w:num>
  <w:num w:numId="30">
    <w:abstractNumId w:val="15"/>
  </w:num>
  <w:num w:numId="31">
    <w:abstractNumId w:val="2"/>
  </w:num>
  <w:num w:numId="32">
    <w:abstractNumId w:val="30"/>
  </w:num>
  <w:num w:numId="33">
    <w:abstractNumId w:val="21"/>
  </w:num>
  <w:num w:numId="34">
    <w:abstractNumId w:val="0"/>
  </w:num>
  <w:num w:numId="35">
    <w:abstractNumId w:val="35"/>
  </w:num>
  <w:num w:numId="36">
    <w:abstractNumId w:val="34"/>
  </w:num>
  <w:num w:numId="37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65"/>
    <w:rsid w:val="00003C13"/>
    <w:rsid w:val="0002178F"/>
    <w:rsid w:val="00033D66"/>
    <w:rsid w:val="00033E32"/>
    <w:rsid w:val="000418F7"/>
    <w:rsid w:val="00041EE4"/>
    <w:rsid w:val="00072B69"/>
    <w:rsid w:val="0007659D"/>
    <w:rsid w:val="000A3388"/>
    <w:rsid w:val="000E4EF7"/>
    <w:rsid w:val="000F376B"/>
    <w:rsid w:val="001748D8"/>
    <w:rsid w:val="00207F6B"/>
    <w:rsid w:val="0025305C"/>
    <w:rsid w:val="0025381B"/>
    <w:rsid w:val="002C3627"/>
    <w:rsid w:val="002D7FA2"/>
    <w:rsid w:val="00324644"/>
    <w:rsid w:val="00367632"/>
    <w:rsid w:val="003730AA"/>
    <w:rsid w:val="0038088B"/>
    <w:rsid w:val="00391839"/>
    <w:rsid w:val="003A5881"/>
    <w:rsid w:val="003D16B0"/>
    <w:rsid w:val="003D2BBC"/>
    <w:rsid w:val="003F0AE1"/>
    <w:rsid w:val="004109B4"/>
    <w:rsid w:val="0043794E"/>
    <w:rsid w:val="004811F7"/>
    <w:rsid w:val="004A526C"/>
    <w:rsid w:val="004C5E96"/>
    <w:rsid w:val="0052632F"/>
    <w:rsid w:val="00532F1B"/>
    <w:rsid w:val="005406FA"/>
    <w:rsid w:val="00542D6F"/>
    <w:rsid w:val="005F103A"/>
    <w:rsid w:val="00625669"/>
    <w:rsid w:val="00652B65"/>
    <w:rsid w:val="00680A58"/>
    <w:rsid w:val="00685F9F"/>
    <w:rsid w:val="00693599"/>
    <w:rsid w:val="00694B8E"/>
    <w:rsid w:val="00696FF6"/>
    <w:rsid w:val="006D4579"/>
    <w:rsid w:val="006D739E"/>
    <w:rsid w:val="006E44D7"/>
    <w:rsid w:val="006E6811"/>
    <w:rsid w:val="006F0316"/>
    <w:rsid w:val="00704CEE"/>
    <w:rsid w:val="00720B98"/>
    <w:rsid w:val="007419E2"/>
    <w:rsid w:val="00744057"/>
    <w:rsid w:val="0076162A"/>
    <w:rsid w:val="0077049C"/>
    <w:rsid w:val="007857C3"/>
    <w:rsid w:val="00794B2D"/>
    <w:rsid w:val="007C245B"/>
    <w:rsid w:val="0080173B"/>
    <w:rsid w:val="00802BA5"/>
    <w:rsid w:val="00812DE8"/>
    <w:rsid w:val="00855BAD"/>
    <w:rsid w:val="0088268E"/>
    <w:rsid w:val="00951DC3"/>
    <w:rsid w:val="00957AA6"/>
    <w:rsid w:val="0097638C"/>
    <w:rsid w:val="009833DA"/>
    <w:rsid w:val="009D274B"/>
    <w:rsid w:val="009E29A5"/>
    <w:rsid w:val="00A2055F"/>
    <w:rsid w:val="00A266A1"/>
    <w:rsid w:val="00B07287"/>
    <w:rsid w:val="00B16382"/>
    <w:rsid w:val="00B415E0"/>
    <w:rsid w:val="00B54813"/>
    <w:rsid w:val="00B62E12"/>
    <w:rsid w:val="00B92A21"/>
    <w:rsid w:val="00B9733B"/>
    <w:rsid w:val="00C65488"/>
    <w:rsid w:val="00C81DEF"/>
    <w:rsid w:val="00C952D4"/>
    <w:rsid w:val="00CB0D83"/>
    <w:rsid w:val="00CB6625"/>
    <w:rsid w:val="00CE5DEB"/>
    <w:rsid w:val="00CF4755"/>
    <w:rsid w:val="00D11EA0"/>
    <w:rsid w:val="00D3344E"/>
    <w:rsid w:val="00D82F27"/>
    <w:rsid w:val="00D97BE8"/>
    <w:rsid w:val="00DC77A7"/>
    <w:rsid w:val="00DD669A"/>
    <w:rsid w:val="00DF04AC"/>
    <w:rsid w:val="00E2704F"/>
    <w:rsid w:val="00E76554"/>
    <w:rsid w:val="00E97C47"/>
    <w:rsid w:val="00EA38AA"/>
    <w:rsid w:val="00EB3BB8"/>
    <w:rsid w:val="00EF4DE2"/>
    <w:rsid w:val="00F11718"/>
    <w:rsid w:val="00F14B72"/>
    <w:rsid w:val="00F36267"/>
    <w:rsid w:val="00F402C5"/>
    <w:rsid w:val="00F40825"/>
    <w:rsid w:val="00F42FBD"/>
    <w:rsid w:val="00F710E2"/>
    <w:rsid w:val="00F870FA"/>
    <w:rsid w:val="00FB27F9"/>
    <w:rsid w:val="00FB5BD4"/>
    <w:rsid w:val="00FD7BA5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B6704"/>
  <w15:docId w15:val="{B638C0A3-D939-4BB6-B1B9-DA3CA49B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33DA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D83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652B65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52B65"/>
    <w:rPr>
      <w:rFonts w:ascii="Times" w:eastAsia="Times" w:hAnsi="Times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652B6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652B65"/>
    <w:rPr>
      <w:rFonts w:ascii="Arial" w:eastAsia="Times New Roman" w:hAnsi="Arial" w:cs="Times New Roman"/>
      <w:sz w:val="20"/>
      <w:szCs w:val="20"/>
      <w:lang w:val="de-CH" w:eastAsia="de-DE"/>
    </w:rPr>
  </w:style>
  <w:style w:type="character" w:styleId="Funotenzeichen">
    <w:name w:val="footnote reference"/>
    <w:basedOn w:val="Absatz-Standardschriftart"/>
    <w:semiHidden/>
    <w:rsid w:val="00652B65"/>
    <w:rPr>
      <w:vertAlign w:val="superscript"/>
    </w:rPr>
  </w:style>
  <w:style w:type="table" w:styleId="Tabellenraster">
    <w:name w:val="Table Grid"/>
    <w:basedOn w:val="NormaleTabelle"/>
    <w:uiPriority w:val="59"/>
    <w:rsid w:val="00C95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Raster-Akzent11">
    <w:name w:val="Helles Raster - Akzent 11"/>
    <w:basedOn w:val="NormaleTabelle"/>
    <w:uiPriority w:val="62"/>
    <w:rsid w:val="00C952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D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BA5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semiHidden/>
    <w:unhideWhenUsed/>
    <w:rsid w:val="00FD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7BA5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BA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7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785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F2E0-D071-4B7B-81BF-B6B97DAB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Volkswirtschaftslehre, Peter Eisenhut</vt:lpstr>
    </vt:vector>
  </TitlesOfParts>
  <Company> 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Volkswirtschaftslehre, Peter Eisenhut</dc:title>
  <dc:subject/>
  <dc:creator>Peter Eisenhut</dc:creator>
  <cp:keywords/>
  <dc:description/>
  <cp:lastModifiedBy>Peter Eisenhut</cp:lastModifiedBy>
  <cp:revision>4</cp:revision>
  <dcterms:created xsi:type="dcterms:W3CDTF">2018-05-04T11:38:00Z</dcterms:created>
  <dcterms:modified xsi:type="dcterms:W3CDTF">2018-05-04T14:52:00Z</dcterms:modified>
</cp:coreProperties>
</file>