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  <w:r>
        <w:rPr>
          <w:rFonts w:cs="TimesTen-Bold"/>
          <w:b/>
          <w:bCs/>
        </w:rPr>
        <w:t>Lösungen</w:t>
      </w:r>
    </w:p>
    <w:p w:rsid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9833DA" w:rsidRP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  <w:r>
        <w:rPr>
          <w:rFonts w:cs="TimesTen-Bold"/>
          <w:b/>
          <w:bCs/>
          <w:sz w:val="32"/>
          <w:szCs w:val="32"/>
        </w:rPr>
        <w:t xml:space="preserve">Repetitionsaufgaben </w:t>
      </w:r>
    </w:p>
    <w:p w:rsidR="003E5B41" w:rsidRDefault="003E5B41" w:rsidP="003E5B41">
      <w:pPr>
        <w:rPr>
          <w:rFonts w:cs="TimesTen-Bold"/>
          <w:b/>
          <w:bCs/>
        </w:rPr>
      </w:pPr>
    </w:p>
    <w:p w:rsidR="009833DA" w:rsidRDefault="0002178F" w:rsidP="003E5B41">
      <w:pPr>
        <w:rPr>
          <w:rFonts w:cs="TimesTen-Bold"/>
          <w:b/>
          <w:bCs/>
        </w:rPr>
      </w:pPr>
      <w:r>
        <w:rPr>
          <w:rFonts w:cs="TimesTen-Bold"/>
          <w:b/>
          <w:bCs/>
        </w:rPr>
        <w:t>Kapitel 4</w:t>
      </w:r>
    </w:p>
    <w:p w:rsidR="004A526C" w:rsidRDefault="004A526C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9833DA" w:rsidRPr="004A526C" w:rsidRDefault="00082F24" w:rsidP="0097638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>
        <w:rPr>
          <w:rFonts w:cs="TimesTen-Roman"/>
          <w:b/>
        </w:rPr>
        <w:t xml:space="preserve">Wirtschaftskreislauf: </w:t>
      </w:r>
      <w:r w:rsidR="009833DA" w:rsidRPr="004A526C">
        <w:rPr>
          <w:rFonts w:cs="TimesTen-Roman"/>
        </w:rPr>
        <w:t>Vgl.</w:t>
      </w:r>
      <w:r w:rsidR="004A526C">
        <w:rPr>
          <w:rFonts w:cs="TimesTen-Roman"/>
        </w:rPr>
        <w:t xml:space="preserve"> </w:t>
      </w:r>
      <w:r w:rsidR="009833DA" w:rsidRPr="004A526C">
        <w:rPr>
          <w:rFonts w:cs="TimesTen-Roman"/>
        </w:rPr>
        <w:t>Abb. 4.1 im Lehrbuch</w:t>
      </w:r>
    </w:p>
    <w:p w:rsidR="004A526C" w:rsidRPr="004A526C" w:rsidRDefault="004A526C" w:rsidP="004A526C">
      <w:pPr>
        <w:pStyle w:val="Listenabsatz"/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9833DA" w:rsidRPr="004A526C" w:rsidRDefault="00082F24" w:rsidP="0097638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082F24">
        <w:rPr>
          <w:rFonts w:cs="TimesTen-Roman"/>
          <w:b/>
        </w:rPr>
        <w:t>Die drei Seiten des BIP:</w:t>
      </w:r>
      <w:r>
        <w:rPr>
          <w:rFonts w:cs="TimesTen-Roman"/>
        </w:rPr>
        <w:t xml:space="preserve"> </w:t>
      </w:r>
      <w:r w:rsidR="009833DA" w:rsidRPr="004A526C">
        <w:rPr>
          <w:rFonts w:cs="TimesTen-Roman"/>
        </w:rPr>
        <w:t>Produktions</w:t>
      </w:r>
      <w:proofErr w:type="gramStart"/>
      <w:r w:rsidR="009833DA" w:rsidRPr="004A526C">
        <w:rPr>
          <w:rFonts w:cs="TimesTen-Roman"/>
        </w:rPr>
        <w:t>-,Verteilungs</w:t>
      </w:r>
      <w:proofErr w:type="gramEnd"/>
      <w:r w:rsidR="009833DA" w:rsidRPr="004A526C">
        <w:rPr>
          <w:rFonts w:cs="TimesTen-Roman"/>
        </w:rPr>
        <w:t>- und Verwendungsseite.</w:t>
      </w:r>
    </w:p>
    <w:p w:rsidR="004A526C" w:rsidRPr="004A526C" w:rsidRDefault="004A526C" w:rsidP="004A526C">
      <w:pPr>
        <w:pStyle w:val="Listenabsatz"/>
        <w:rPr>
          <w:rFonts w:cs="TimesTen-Bold"/>
          <w:bCs/>
        </w:rPr>
      </w:pPr>
    </w:p>
    <w:p w:rsidR="009833DA" w:rsidRPr="004A526C" w:rsidRDefault="00082F24" w:rsidP="0097638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082F24">
        <w:rPr>
          <w:rFonts w:cs="TimesTen-Roman"/>
          <w:b/>
        </w:rPr>
        <w:t xml:space="preserve">Zusammenhang der drei Seiten des BIP: </w:t>
      </w:r>
      <w:r w:rsidR="009833DA" w:rsidRPr="004A526C">
        <w:rPr>
          <w:rFonts w:cs="TimesTen-Roman"/>
        </w:rPr>
        <w:t>Bei Herstellung von Gütern und Dienstleistungen (Produktionsseite) entstehen</w:t>
      </w:r>
      <w:r w:rsidR="004A526C">
        <w:rPr>
          <w:rFonts w:cs="TimesTen-Roman"/>
        </w:rPr>
        <w:t xml:space="preserve"> </w:t>
      </w:r>
      <w:r w:rsidR="009833DA" w:rsidRPr="004A526C">
        <w:rPr>
          <w:rFonts w:cs="TimesTen-Roman"/>
        </w:rPr>
        <w:t>Einkommen für die Produktionsfaktoren (Verteilungsseite), welche für den Kauf</w:t>
      </w:r>
      <w:r w:rsidR="004A526C">
        <w:rPr>
          <w:rFonts w:cs="TimesTen-Roman"/>
        </w:rPr>
        <w:t xml:space="preserve"> </w:t>
      </w:r>
      <w:r w:rsidR="009833DA" w:rsidRPr="004A526C">
        <w:rPr>
          <w:rFonts w:cs="TimesTen-Roman"/>
        </w:rPr>
        <w:t>von Gütern und Dienstleistungen verwendet werden (Verwendungsseite).</w:t>
      </w:r>
    </w:p>
    <w:p w:rsidR="004A526C" w:rsidRPr="004A526C" w:rsidRDefault="004A526C" w:rsidP="004A526C">
      <w:pPr>
        <w:pStyle w:val="Listenabsatz"/>
        <w:rPr>
          <w:rFonts w:cs="TimesTen-Bold"/>
          <w:bCs/>
        </w:rPr>
      </w:pPr>
    </w:p>
    <w:p w:rsidR="009833DA" w:rsidRPr="004A526C" w:rsidRDefault="00082F24" w:rsidP="0097638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082F24">
        <w:rPr>
          <w:rFonts w:cs="TimesTen-Roman"/>
          <w:b/>
        </w:rPr>
        <w:t>Institutionelle Sektoren:</w:t>
      </w:r>
      <w:r>
        <w:rPr>
          <w:rFonts w:cs="TimesTen-Roman"/>
        </w:rPr>
        <w:t xml:space="preserve"> </w:t>
      </w:r>
      <w:r w:rsidR="009833DA" w:rsidRPr="004A526C">
        <w:rPr>
          <w:rFonts w:cs="TimesTen-Roman"/>
        </w:rPr>
        <w:t>Unternehmungen (unterteilt in: Nichtfinanzielle Unternehmungen, Finanzinstitute</w:t>
      </w:r>
      <w:r w:rsidR="004A526C">
        <w:rPr>
          <w:rFonts w:cs="TimesTen-Roman"/>
        </w:rPr>
        <w:t xml:space="preserve"> </w:t>
      </w:r>
      <w:r w:rsidR="009833DA" w:rsidRPr="004A526C">
        <w:rPr>
          <w:rFonts w:cs="TimesTen-Roman"/>
        </w:rPr>
        <w:t>und Versicherungen);</w:t>
      </w:r>
      <w:r w:rsidR="004A526C">
        <w:rPr>
          <w:rFonts w:cs="TimesTen-Roman"/>
        </w:rPr>
        <w:t xml:space="preserve"> p</w:t>
      </w:r>
      <w:r w:rsidR="009833DA" w:rsidRPr="004A526C">
        <w:rPr>
          <w:rFonts w:cs="TimesTen-Roman"/>
        </w:rPr>
        <w:t>rivate Haushalte und private Organisationen ohne Erwerbscharakter (</w:t>
      </w:r>
      <w:proofErr w:type="spellStart"/>
      <w:r w:rsidR="009833DA" w:rsidRPr="004A526C">
        <w:rPr>
          <w:rFonts w:cs="TimesTen-Roman"/>
        </w:rPr>
        <w:t>POoE</w:t>
      </w:r>
      <w:proofErr w:type="spellEnd"/>
      <w:r w:rsidR="009833DA" w:rsidRPr="004A526C">
        <w:rPr>
          <w:rFonts w:cs="TimesTen-Roman"/>
        </w:rPr>
        <w:t>);</w:t>
      </w:r>
      <w:r w:rsidR="004A526C">
        <w:rPr>
          <w:rFonts w:cs="TimesTen-Roman"/>
        </w:rPr>
        <w:t xml:space="preserve"> </w:t>
      </w:r>
      <w:r w:rsidR="009833DA" w:rsidRPr="004A526C">
        <w:rPr>
          <w:rFonts w:cs="TimesTen-Roman"/>
        </w:rPr>
        <w:t>Öffentliche Haushalte; Sozialversicherungen;</w:t>
      </w:r>
      <w:r w:rsidR="004A526C">
        <w:rPr>
          <w:rFonts w:cs="TimesTen-Roman"/>
        </w:rPr>
        <w:t xml:space="preserve"> ü</w:t>
      </w:r>
      <w:r w:rsidR="009833DA" w:rsidRPr="004A526C">
        <w:rPr>
          <w:rFonts w:cs="TimesTen-Roman"/>
        </w:rPr>
        <w:t>brige Welt.</w:t>
      </w:r>
    </w:p>
    <w:p w:rsidR="004A526C" w:rsidRPr="004A526C" w:rsidRDefault="004A526C" w:rsidP="004A526C">
      <w:pPr>
        <w:pStyle w:val="Listenabsatz"/>
        <w:rPr>
          <w:rFonts w:cs="TimesTen-Bold"/>
          <w:bCs/>
        </w:rPr>
      </w:pPr>
    </w:p>
    <w:p w:rsidR="009833DA" w:rsidRPr="004A526C" w:rsidRDefault="00082F24" w:rsidP="0097638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082F24">
        <w:rPr>
          <w:rFonts w:cs="TimesTen-Roman"/>
          <w:b/>
        </w:rPr>
        <w:t xml:space="preserve">Quoten der Verwendungsseite: </w:t>
      </w:r>
      <w:r w:rsidR="009833DA" w:rsidRPr="004A526C">
        <w:rPr>
          <w:rFonts w:cs="TimesTen-Roman"/>
        </w:rPr>
        <w:t>Investitions-, Konsum-, Export- und Importquote.</w:t>
      </w:r>
    </w:p>
    <w:p w:rsidR="004A526C" w:rsidRPr="004A526C" w:rsidRDefault="004A526C" w:rsidP="004A526C">
      <w:pPr>
        <w:pStyle w:val="Listenabsatz"/>
        <w:rPr>
          <w:rFonts w:cs="TimesTen-Bold"/>
          <w:bCs/>
        </w:rPr>
      </w:pPr>
    </w:p>
    <w:p w:rsidR="009833DA" w:rsidRPr="004A526C" w:rsidRDefault="00082F24" w:rsidP="0097638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082F24">
        <w:rPr>
          <w:rFonts w:cs="TimesTen-Roman"/>
          <w:b/>
        </w:rPr>
        <w:t>Sparen und Investieren:</w:t>
      </w:r>
      <w:r>
        <w:rPr>
          <w:rFonts w:cs="TimesTen-Roman"/>
        </w:rPr>
        <w:t xml:space="preserve"> </w:t>
      </w:r>
      <w:r w:rsidR="009833DA" w:rsidRPr="004A526C">
        <w:rPr>
          <w:rFonts w:cs="TimesTen-Roman"/>
        </w:rPr>
        <w:t>Ersparnisse werden an diejenigen ausgeliehen, die zu wenig eigene Mittel erarbeitet</w:t>
      </w:r>
      <w:r w:rsidR="004A526C">
        <w:rPr>
          <w:rFonts w:cs="TimesTen-Roman"/>
        </w:rPr>
        <w:t xml:space="preserve"> </w:t>
      </w:r>
      <w:r w:rsidR="009833DA" w:rsidRPr="004A526C">
        <w:rPr>
          <w:rFonts w:cs="TimesTen-Roman"/>
        </w:rPr>
        <w:t>haben, um ihre Investitionen zu finanzieren. Gesamtwirtschaftlich sind Sparen und</w:t>
      </w:r>
      <w:r w:rsidR="004A526C">
        <w:rPr>
          <w:rFonts w:cs="TimesTen-Roman"/>
        </w:rPr>
        <w:t xml:space="preserve"> </w:t>
      </w:r>
      <w:r w:rsidR="009833DA" w:rsidRPr="004A526C">
        <w:rPr>
          <w:rFonts w:cs="TimesTen-Roman"/>
        </w:rPr>
        <w:t>Investieren – rückblickend – immer ausgeglichen. (Falls die inländischen Ersparnisse</w:t>
      </w:r>
      <w:r w:rsidR="004A526C">
        <w:rPr>
          <w:rFonts w:cs="TimesTen-Roman"/>
        </w:rPr>
        <w:t xml:space="preserve"> </w:t>
      </w:r>
      <w:r w:rsidR="009833DA" w:rsidRPr="004A526C">
        <w:rPr>
          <w:rFonts w:cs="TimesTen-Roman"/>
        </w:rPr>
        <w:t>grösser sind als die inländischen Investitionen, werden diese «überflüssigen»</w:t>
      </w:r>
      <w:r w:rsidR="004A526C">
        <w:rPr>
          <w:rFonts w:cs="TimesTen-Roman"/>
        </w:rPr>
        <w:t xml:space="preserve"> </w:t>
      </w:r>
      <w:r w:rsidR="009833DA" w:rsidRPr="004A526C">
        <w:rPr>
          <w:rFonts w:cs="TimesTen-Roman"/>
        </w:rPr>
        <w:t>Ersparnisse im Ausland investiert.)</w:t>
      </w:r>
    </w:p>
    <w:p w:rsidR="004A526C" w:rsidRPr="004A526C" w:rsidRDefault="004A526C" w:rsidP="004A526C">
      <w:pPr>
        <w:pStyle w:val="Listenabsatz"/>
        <w:rPr>
          <w:rFonts w:cs="TimesTen-Bold"/>
          <w:bCs/>
        </w:rPr>
      </w:pPr>
    </w:p>
    <w:p w:rsidR="009833DA" w:rsidRPr="003E5B41" w:rsidRDefault="00082F24" w:rsidP="0097638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082F24">
        <w:rPr>
          <w:rFonts w:cs="TimesTen-Roman"/>
          <w:b/>
        </w:rPr>
        <w:t>Kritikpunkte an der VGR:</w:t>
      </w:r>
      <w:r>
        <w:rPr>
          <w:rFonts w:cs="TimesTen-Roman"/>
        </w:rPr>
        <w:t xml:space="preserve"> </w:t>
      </w:r>
      <w:r w:rsidR="009833DA" w:rsidRPr="004A526C">
        <w:rPr>
          <w:rFonts w:cs="TimesTen-Roman"/>
        </w:rPr>
        <w:t>Unzureichende Datenerfassung (z.B.: Schwarzarbeit und Drogenhandel, Hausarbeit</w:t>
      </w:r>
      <w:r w:rsidR="003E5B41">
        <w:rPr>
          <w:rFonts w:cs="TimesTen-Roman"/>
        </w:rPr>
        <w:t>, Digitalisierung</w:t>
      </w:r>
      <w:r w:rsidR="004A526C">
        <w:rPr>
          <w:rFonts w:cs="TimesTen-Roman"/>
        </w:rPr>
        <w:t xml:space="preserve"> </w:t>
      </w:r>
      <w:r w:rsidR="009833DA" w:rsidRPr="004A526C">
        <w:rPr>
          <w:rFonts w:cs="TimesTen-Roman"/>
        </w:rPr>
        <w:t>usw.); Vernachlässigung der externen Kosten; «Richtige» Bewertung der Leistungen (z.B. werden die staatlichen Leistungen</w:t>
      </w:r>
      <w:r w:rsidR="004A526C">
        <w:rPr>
          <w:rFonts w:cs="TimesTen-Roman"/>
        </w:rPr>
        <w:t xml:space="preserve"> </w:t>
      </w:r>
      <w:r w:rsidR="009833DA" w:rsidRPr="004A526C">
        <w:rPr>
          <w:rFonts w:cs="TimesTen-Roman"/>
        </w:rPr>
        <w:t>mit ihren Kosten bewertet).</w:t>
      </w:r>
    </w:p>
    <w:p w:rsidR="003E5B41" w:rsidRPr="003E5B41" w:rsidRDefault="003E5B41" w:rsidP="003E5B41">
      <w:pPr>
        <w:pStyle w:val="Listenabsatz"/>
        <w:rPr>
          <w:rFonts w:cs="TimesTen-Bold"/>
          <w:bCs/>
        </w:rPr>
      </w:pPr>
    </w:p>
    <w:p w:rsidR="003E5B41" w:rsidRPr="003E5B41" w:rsidRDefault="00082F24" w:rsidP="0097638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  <w:lang w:val="de-CH"/>
        </w:rPr>
      </w:pPr>
      <w:bookmarkStart w:id="0" w:name="_GoBack"/>
      <w:r w:rsidRPr="00082F24">
        <w:rPr>
          <w:rFonts w:cs="TimesTen-Bold"/>
          <w:b/>
          <w:bCs/>
          <w:lang w:val="de-CH"/>
        </w:rPr>
        <w:t>Indikatoren für die Wohlfahrt:</w:t>
      </w:r>
      <w:r>
        <w:rPr>
          <w:rFonts w:cs="TimesTen-Bold"/>
          <w:bCs/>
          <w:lang w:val="de-CH"/>
        </w:rPr>
        <w:t xml:space="preserve"> </w:t>
      </w:r>
      <w:bookmarkEnd w:id="0"/>
      <w:r w:rsidR="003E5B41">
        <w:rPr>
          <w:rFonts w:cs="TimesTen-Bold"/>
          <w:bCs/>
          <w:lang w:val="de-CH"/>
        </w:rPr>
        <w:t xml:space="preserve">Beispielsweise: </w:t>
      </w:r>
      <w:r w:rsidR="003E5B41" w:rsidRPr="003E5B41">
        <w:rPr>
          <w:rFonts w:cs="TimesTen-Bold"/>
          <w:bCs/>
          <w:lang w:val="de-CH"/>
        </w:rPr>
        <w:t>Au</w:t>
      </w:r>
      <w:r w:rsidR="003E5B41">
        <w:rPr>
          <w:rFonts w:cs="TimesTen-Bold"/>
          <w:bCs/>
          <w:lang w:val="de-CH"/>
        </w:rPr>
        <w:t>sbildung, Umweltqualität, Anteil erneuerbarer Energien, Armutsquote.</w:t>
      </w:r>
    </w:p>
    <w:p w:rsidR="004A526C" w:rsidRPr="003E5B41" w:rsidRDefault="004A526C" w:rsidP="009833DA">
      <w:pPr>
        <w:autoSpaceDE w:val="0"/>
        <w:autoSpaceDN w:val="0"/>
        <w:adjustRightInd w:val="0"/>
        <w:spacing w:after="0" w:line="240" w:lineRule="auto"/>
        <w:rPr>
          <w:rFonts w:cs="TimesTen-Italic"/>
          <w:i/>
          <w:iCs/>
          <w:lang w:val="de-CH"/>
        </w:rPr>
      </w:pPr>
    </w:p>
    <w:p w:rsidR="00DD669A" w:rsidRPr="003E5B41" w:rsidRDefault="00DD669A" w:rsidP="009833DA">
      <w:pPr>
        <w:rPr>
          <w:lang w:val="de-CH"/>
        </w:rPr>
      </w:pPr>
    </w:p>
    <w:sectPr w:rsidR="00DD669A" w:rsidRPr="003E5B41" w:rsidSect="00957AA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718" w:rsidRDefault="00F11718" w:rsidP="00652B65">
      <w:pPr>
        <w:spacing w:after="0" w:line="240" w:lineRule="auto"/>
      </w:pPr>
      <w:r>
        <w:separator/>
      </w:r>
    </w:p>
  </w:endnote>
  <w:endnote w:type="continuationSeparator" w:id="0">
    <w:p w:rsidR="00F11718" w:rsidRDefault="00F11718" w:rsidP="0065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Te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e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718" w:rsidRDefault="00F11718" w:rsidP="00652B65">
      <w:pPr>
        <w:spacing w:after="0" w:line="240" w:lineRule="auto"/>
      </w:pPr>
      <w:r>
        <w:separator/>
      </w:r>
    </w:p>
  </w:footnote>
  <w:footnote w:type="continuationSeparator" w:id="0">
    <w:p w:rsidR="00F11718" w:rsidRDefault="00F11718" w:rsidP="0065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18" w:rsidRPr="007419E2" w:rsidRDefault="00F11718">
    <w:pPr>
      <w:pStyle w:val="Kopfzeile"/>
      <w:pBdr>
        <w:bottom w:val="single" w:sz="12" w:space="1" w:color="auto"/>
      </w:pBdr>
      <w:rPr>
        <w:sz w:val="16"/>
        <w:szCs w:val="16"/>
        <w:lang w:val="de-CH"/>
      </w:rPr>
    </w:pPr>
    <w:r>
      <w:rPr>
        <w:sz w:val="16"/>
        <w:szCs w:val="16"/>
        <w:lang w:val="de-CH"/>
      </w:rPr>
      <w:t xml:space="preserve">Lösungen zu den Repetitionsfragen, </w:t>
    </w:r>
    <w:r w:rsidRPr="00F36267">
      <w:rPr>
        <w:sz w:val="16"/>
        <w:szCs w:val="16"/>
        <w:lang w:val="de-CH"/>
      </w:rPr>
      <w:t>Aktuelle Volkswirtschaftslehre, Peter Eisenhut</w:t>
    </w:r>
    <w:r>
      <w:rPr>
        <w:lang w:val="de-CH"/>
      </w:rPr>
      <w:tab/>
    </w:r>
    <w:r w:rsidRPr="00F36267">
      <w:rPr>
        <w:noProof/>
        <w:lang w:eastAsia="de-DE"/>
      </w:rPr>
      <w:drawing>
        <wp:inline distT="0" distB="0" distL="0" distR="0">
          <wp:extent cx="300654" cy="318052"/>
          <wp:effectExtent l="19050" t="0" r="4146" b="0"/>
          <wp:docPr id="3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962" cy="32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F11718" w:rsidRPr="00F36267" w:rsidRDefault="00F11718">
    <w:pPr>
      <w:pStyle w:val="Kopfzeile"/>
      <w:rPr>
        <w:lang w:val="de-CH"/>
      </w:rPr>
    </w:pP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47B"/>
    <w:multiLevelType w:val="hybridMultilevel"/>
    <w:tmpl w:val="B4FE198C"/>
    <w:lvl w:ilvl="0" w:tplc="28A491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8061A"/>
    <w:multiLevelType w:val="hybridMultilevel"/>
    <w:tmpl w:val="9F1C83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A86"/>
    <w:multiLevelType w:val="hybridMultilevel"/>
    <w:tmpl w:val="A03EE02C"/>
    <w:lvl w:ilvl="0" w:tplc="F6F0017E">
      <w:start w:val="1"/>
      <w:numFmt w:val="lowerLetter"/>
      <w:lvlText w:val="%1)"/>
      <w:lvlJc w:val="left"/>
      <w:pPr>
        <w:ind w:left="1069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9B274A"/>
    <w:multiLevelType w:val="hybridMultilevel"/>
    <w:tmpl w:val="F11412BC"/>
    <w:lvl w:ilvl="0" w:tplc="B2EC8B8C">
      <w:start w:val="1"/>
      <w:numFmt w:val="lowerLetter"/>
      <w:lvlText w:val="%1)"/>
      <w:lvlJc w:val="left"/>
      <w:pPr>
        <w:ind w:left="144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C304A7"/>
    <w:multiLevelType w:val="hybridMultilevel"/>
    <w:tmpl w:val="24E6DB34"/>
    <w:lvl w:ilvl="0" w:tplc="209C4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A0DB8"/>
    <w:multiLevelType w:val="hybridMultilevel"/>
    <w:tmpl w:val="43EE6DBC"/>
    <w:lvl w:ilvl="0" w:tplc="D17CF948">
      <w:start w:val="1"/>
      <w:numFmt w:val="lowerLetter"/>
      <w:lvlText w:val="%1)"/>
      <w:lvlJc w:val="left"/>
      <w:pPr>
        <w:ind w:left="108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00E03"/>
    <w:multiLevelType w:val="hybridMultilevel"/>
    <w:tmpl w:val="D26645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C1E33"/>
    <w:multiLevelType w:val="hybridMultilevel"/>
    <w:tmpl w:val="7BB6647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F6235B"/>
    <w:multiLevelType w:val="hybridMultilevel"/>
    <w:tmpl w:val="14C4E2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547DE"/>
    <w:multiLevelType w:val="hybridMultilevel"/>
    <w:tmpl w:val="31B68BEA"/>
    <w:lvl w:ilvl="0" w:tplc="73F60B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Ten-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2909B1"/>
    <w:multiLevelType w:val="hybridMultilevel"/>
    <w:tmpl w:val="4B322784"/>
    <w:lvl w:ilvl="0" w:tplc="D17CF948">
      <w:start w:val="1"/>
      <w:numFmt w:val="lowerLetter"/>
      <w:lvlText w:val="%1)"/>
      <w:lvlJc w:val="left"/>
      <w:pPr>
        <w:ind w:left="108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710B13"/>
    <w:multiLevelType w:val="hybridMultilevel"/>
    <w:tmpl w:val="CDA863A6"/>
    <w:lvl w:ilvl="0" w:tplc="9B987F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742A03"/>
    <w:multiLevelType w:val="hybridMultilevel"/>
    <w:tmpl w:val="DE3E96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75165"/>
    <w:multiLevelType w:val="hybridMultilevel"/>
    <w:tmpl w:val="FBC8A9A8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0358C"/>
    <w:multiLevelType w:val="hybridMultilevel"/>
    <w:tmpl w:val="1960C54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0F68F4"/>
    <w:multiLevelType w:val="hybridMultilevel"/>
    <w:tmpl w:val="E054ABD2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63DE9"/>
    <w:multiLevelType w:val="hybridMultilevel"/>
    <w:tmpl w:val="C3C29A0A"/>
    <w:lvl w:ilvl="0" w:tplc="37204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D76E13"/>
    <w:multiLevelType w:val="hybridMultilevel"/>
    <w:tmpl w:val="430479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4A9A"/>
    <w:multiLevelType w:val="hybridMultilevel"/>
    <w:tmpl w:val="3DC64E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A72E9"/>
    <w:multiLevelType w:val="hybridMultilevel"/>
    <w:tmpl w:val="68AE43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93E65"/>
    <w:multiLevelType w:val="hybridMultilevel"/>
    <w:tmpl w:val="6F44096A"/>
    <w:lvl w:ilvl="0" w:tplc="9E968136">
      <w:start w:val="1"/>
      <w:numFmt w:val="lowerLetter"/>
      <w:lvlText w:val="%1)"/>
      <w:lvlJc w:val="left"/>
      <w:pPr>
        <w:ind w:left="1428" w:hanging="360"/>
      </w:pPr>
      <w:rPr>
        <w:rFonts w:cs="TimesTen-Roman"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6DA5073"/>
    <w:multiLevelType w:val="hybridMultilevel"/>
    <w:tmpl w:val="D2D8439E"/>
    <w:lvl w:ilvl="0" w:tplc="D17CF948">
      <w:start w:val="1"/>
      <w:numFmt w:val="lowerLetter"/>
      <w:lvlText w:val="%1)"/>
      <w:lvlJc w:val="left"/>
      <w:pPr>
        <w:ind w:left="108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5B046B"/>
    <w:multiLevelType w:val="hybridMultilevel"/>
    <w:tmpl w:val="684249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45BAD"/>
    <w:multiLevelType w:val="hybridMultilevel"/>
    <w:tmpl w:val="A32ECB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65C05"/>
    <w:multiLevelType w:val="hybridMultilevel"/>
    <w:tmpl w:val="4532F5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C24D5"/>
    <w:multiLevelType w:val="hybridMultilevel"/>
    <w:tmpl w:val="5E30AC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86DEF"/>
    <w:multiLevelType w:val="hybridMultilevel"/>
    <w:tmpl w:val="58A62B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E5428"/>
    <w:multiLevelType w:val="hybridMultilevel"/>
    <w:tmpl w:val="1A2C487A"/>
    <w:lvl w:ilvl="0" w:tplc="209C4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9D56FD"/>
    <w:multiLevelType w:val="hybridMultilevel"/>
    <w:tmpl w:val="0290C5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820B6"/>
    <w:multiLevelType w:val="hybridMultilevel"/>
    <w:tmpl w:val="F1EEB852"/>
    <w:lvl w:ilvl="0" w:tplc="67ACCD56">
      <w:start w:val="1"/>
      <w:numFmt w:val="lowerLetter"/>
      <w:lvlText w:val="%1)"/>
      <w:lvlJc w:val="left"/>
      <w:pPr>
        <w:ind w:left="1068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C95737"/>
    <w:multiLevelType w:val="hybridMultilevel"/>
    <w:tmpl w:val="98A6A552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17947"/>
    <w:multiLevelType w:val="hybridMultilevel"/>
    <w:tmpl w:val="BB9A7E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40CEB"/>
    <w:multiLevelType w:val="hybridMultilevel"/>
    <w:tmpl w:val="71D8CD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731CB"/>
    <w:multiLevelType w:val="hybridMultilevel"/>
    <w:tmpl w:val="FBC8D874"/>
    <w:lvl w:ilvl="0" w:tplc="3E581B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4"/>
  </w:num>
  <w:num w:numId="3">
    <w:abstractNumId w:val="12"/>
  </w:num>
  <w:num w:numId="4">
    <w:abstractNumId w:val="25"/>
  </w:num>
  <w:num w:numId="5">
    <w:abstractNumId w:val="28"/>
  </w:num>
  <w:num w:numId="6">
    <w:abstractNumId w:val="22"/>
  </w:num>
  <w:num w:numId="7">
    <w:abstractNumId w:val="4"/>
  </w:num>
  <w:num w:numId="8">
    <w:abstractNumId w:val="6"/>
  </w:num>
  <w:num w:numId="9">
    <w:abstractNumId w:val="9"/>
  </w:num>
  <w:num w:numId="10">
    <w:abstractNumId w:val="32"/>
  </w:num>
  <w:num w:numId="11">
    <w:abstractNumId w:val="27"/>
  </w:num>
  <w:num w:numId="12">
    <w:abstractNumId w:val="13"/>
  </w:num>
  <w:num w:numId="13">
    <w:abstractNumId w:val="11"/>
  </w:num>
  <w:num w:numId="14">
    <w:abstractNumId w:val="33"/>
  </w:num>
  <w:num w:numId="15">
    <w:abstractNumId w:val="14"/>
  </w:num>
  <w:num w:numId="16">
    <w:abstractNumId w:val="17"/>
  </w:num>
  <w:num w:numId="17">
    <w:abstractNumId w:val="7"/>
  </w:num>
  <w:num w:numId="18">
    <w:abstractNumId w:val="1"/>
  </w:num>
  <w:num w:numId="19">
    <w:abstractNumId w:val="8"/>
  </w:num>
  <w:num w:numId="20">
    <w:abstractNumId w:val="26"/>
  </w:num>
  <w:num w:numId="21">
    <w:abstractNumId w:val="10"/>
  </w:num>
  <w:num w:numId="22">
    <w:abstractNumId w:val="23"/>
  </w:num>
  <w:num w:numId="23">
    <w:abstractNumId w:val="19"/>
  </w:num>
  <w:num w:numId="24">
    <w:abstractNumId w:val="21"/>
  </w:num>
  <w:num w:numId="25">
    <w:abstractNumId w:val="30"/>
  </w:num>
  <w:num w:numId="26">
    <w:abstractNumId w:val="3"/>
  </w:num>
  <w:num w:numId="27">
    <w:abstractNumId w:val="31"/>
  </w:num>
  <w:num w:numId="28">
    <w:abstractNumId w:val="5"/>
  </w:num>
  <w:num w:numId="29">
    <w:abstractNumId w:val="16"/>
  </w:num>
  <w:num w:numId="30">
    <w:abstractNumId w:val="15"/>
  </w:num>
  <w:num w:numId="31">
    <w:abstractNumId w:val="2"/>
  </w:num>
  <w:num w:numId="32">
    <w:abstractNumId w:val="29"/>
  </w:num>
  <w:num w:numId="33">
    <w:abstractNumId w:val="20"/>
  </w:num>
  <w:num w:numId="34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65"/>
    <w:rsid w:val="00003C13"/>
    <w:rsid w:val="0002178F"/>
    <w:rsid w:val="00033D66"/>
    <w:rsid w:val="00033E32"/>
    <w:rsid w:val="000418F7"/>
    <w:rsid w:val="00041EE4"/>
    <w:rsid w:val="00072B69"/>
    <w:rsid w:val="0007659D"/>
    <w:rsid w:val="00082F24"/>
    <w:rsid w:val="000A3388"/>
    <w:rsid w:val="000E4EF7"/>
    <w:rsid w:val="000F376B"/>
    <w:rsid w:val="001748D8"/>
    <w:rsid w:val="00207F6B"/>
    <w:rsid w:val="0025305C"/>
    <w:rsid w:val="0025381B"/>
    <w:rsid w:val="002C3627"/>
    <w:rsid w:val="002D7FA2"/>
    <w:rsid w:val="00324644"/>
    <w:rsid w:val="00367632"/>
    <w:rsid w:val="003730AA"/>
    <w:rsid w:val="0038088B"/>
    <w:rsid w:val="00391839"/>
    <w:rsid w:val="003A5881"/>
    <w:rsid w:val="003D16B0"/>
    <w:rsid w:val="003D2BBC"/>
    <w:rsid w:val="003E5B41"/>
    <w:rsid w:val="003F0AE1"/>
    <w:rsid w:val="004109B4"/>
    <w:rsid w:val="0043794E"/>
    <w:rsid w:val="004811F7"/>
    <w:rsid w:val="004A526C"/>
    <w:rsid w:val="004C5E96"/>
    <w:rsid w:val="0052632F"/>
    <w:rsid w:val="00532F1B"/>
    <w:rsid w:val="005406FA"/>
    <w:rsid w:val="00542D6F"/>
    <w:rsid w:val="005F103A"/>
    <w:rsid w:val="00625669"/>
    <w:rsid w:val="00652B65"/>
    <w:rsid w:val="00680A58"/>
    <w:rsid w:val="00685F9F"/>
    <w:rsid w:val="00693599"/>
    <w:rsid w:val="00694B8E"/>
    <w:rsid w:val="00696FF6"/>
    <w:rsid w:val="006D4579"/>
    <w:rsid w:val="006D739E"/>
    <w:rsid w:val="006E44D7"/>
    <w:rsid w:val="006E6811"/>
    <w:rsid w:val="006F0316"/>
    <w:rsid w:val="00704CEE"/>
    <w:rsid w:val="00720B98"/>
    <w:rsid w:val="007419E2"/>
    <w:rsid w:val="00744057"/>
    <w:rsid w:val="0076162A"/>
    <w:rsid w:val="0077049C"/>
    <w:rsid w:val="007857C3"/>
    <w:rsid w:val="00794B2D"/>
    <w:rsid w:val="007C245B"/>
    <w:rsid w:val="00802BA5"/>
    <w:rsid w:val="00812DE8"/>
    <w:rsid w:val="00855BAD"/>
    <w:rsid w:val="0088268E"/>
    <w:rsid w:val="00951DC3"/>
    <w:rsid w:val="00957AA6"/>
    <w:rsid w:val="0097638C"/>
    <w:rsid w:val="009833DA"/>
    <w:rsid w:val="009D274B"/>
    <w:rsid w:val="009E29A5"/>
    <w:rsid w:val="00A2055F"/>
    <w:rsid w:val="00B07287"/>
    <w:rsid w:val="00B16382"/>
    <w:rsid w:val="00B415E0"/>
    <w:rsid w:val="00B54813"/>
    <w:rsid w:val="00B62E12"/>
    <w:rsid w:val="00B92A21"/>
    <w:rsid w:val="00B9733B"/>
    <w:rsid w:val="00C65488"/>
    <w:rsid w:val="00C81DEF"/>
    <w:rsid w:val="00C952D4"/>
    <w:rsid w:val="00CB0D83"/>
    <w:rsid w:val="00CB6625"/>
    <w:rsid w:val="00CE5DEB"/>
    <w:rsid w:val="00CF4755"/>
    <w:rsid w:val="00D11EA0"/>
    <w:rsid w:val="00D3344E"/>
    <w:rsid w:val="00D82F27"/>
    <w:rsid w:val="00D97BE8"/>
    <w:rsid w:val="00DC77A7"/>
    <w:rsid w:val="00DD669A"/>
    <w:rsid w:val="00DF04AC"/>
    <w:rsid w:val="00E2704F"/>
    <w:rsid w:val="00E76554"/>
    <w:rsid w:val="00E97C47"/>
    <w:rsid w:val="00EA38AA"/>
    <w:rsid w:val="00EB3BB8"/>
    <w:rsid w:val="00EF4DE2"/>
    <w:rsid w:val="00F11718"/>
    <w:rsid w:val="00F14B72"/>
    <w:rsid w:val="00F36267"/>
    <w:rsid w:val="00F402C5"/>
    <w:rsid w:val="00F40825"/>
    <w:rsid w:val="00F42FBD"/>
    <w:rsid w:val="00F710E2"/>
    <w:rsid w:val="00F870FA"/>
    <w:rsid w:val="00FB5BD4"/>
    <w:rsid w:val="00FD7BA5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0B7D59"/>
  <w15:docId w15:val="{B638C0A3-D939-4BB6-B1B9-DA3CA49B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33DA"/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0D8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652B65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52B65"/>
    <w:rPr>
      <w:rFonts w:ascii="Times" w:eastAsia="Times" w:hAnsi="Times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652B6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52B65"/>
    <w:rPr>
      <w:rFonts w:ascii="Arial" w:eastAsia="Times New Roman" w:hAnsi="Arial" w:cs="Times New Roman"/>
      <w:sz w:val="20"/>
      <w:szCs w:val="20"/>
      <w:lang w:val="de-CH" w:eastAsia="de-DE"/>
    </w:rPr>
  </w:style>
  <w:style w:type="character" w:styleId="Funotenzeichen">
    <w:name w:val="footnote reference"/>
    <w:basedOn w:val="Absatz-Standardschriftart"/>
    <w:semiHidden/>
    <w:rsid w:val="00652B65"/>
    <w:rPr>
      <w:vertAlign w:val="superscript"/>
    </w:rPr>
  </w:style>
  <w:style w:type="table" w:styleId="Tabellenraster">
    <w:name w:val="Table Grid"/>
    <w:basedOn w:val="NormaleTabelle"/>
    <w:uiPriority w:val="59"/>
    <w:rsid w:val="00C95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HellesRaster-Akzent11">
    <w:name w:val="Helles Raster - Akzent 11"/>
    <w:basedOn w:val="NormaleTabelle"/>
    <w:uiPriority w:val="62"/>
    <w:rsid w:val="00C952D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7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7BA5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semiHidden/>
    <w:unhideWhenUsed/>
    <w:rsid w:val="00FD7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7BA5"/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BA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70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785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87DC-CFDB-4EFE-9D20-6D9EA13B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Aktuelle Volkswirtschaftslehre, Peter Eisenhut</vt:lpstr>
    </vt:vector>
  </TitlesOfParts>
  <Company> 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 Volkswirtschaftslehre, Peter Eisenhut</dc:title>
  <dc:subject/>
  <dc:creator>Peter Eisenhut</dc:creator>
  <cp:keywords/>
  <dc:description/>
  <cp:lastModifiedBy>Peter Eisenhut</cp:lastModifiedBy>
  <cp:revision>3</cp:revision>
  <dcterms:created xsi:type="dcterms:W3CDTF">2018-05-04T11:22:00Z</dcterms:created>
  <dcterms:modified xsi:type="dcterms:W3CDTF">2018-05-04T14:48:00Z</dcterms:modified>
</cp:coreProperties>
</file>