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3DA" w:rsidRDefault="009833DA" w:rsidP="009833DA">
      <w:pPr>
        <w:autoSpaceDE w:val="0"/>
        <w:autoSpaceDN w:val="0"/>
        <w:adjustRightInd w:val="0"/>
        <w:spacing w:after="0" w:line="240" w:lineRule="auto"/>
        <w:rPr>
          <w:rFonts w:cs="TimesTen-Bold"/>
          <w:b/>
          <w:bCs/>
        </w:rPr>
      </w:pPr>
      <w:r>
        <w:rPr>
          <w:rFonts w:cs="TimesTen-Bold"/>
          <w:b/>
          <w:bCs/>
        </w:rPr>
        <w:t>Lösungen</w:t>
      </w:r>
    </w:p>
    <w:p w:rsidR="009833DA" w:rsidRDefault="009833DA" w:rsidP="009833DA">
      <w:pPr>
        <w:autoSpaceDE w:val="0"/>
        <w:autoSpaceDN w:val="0"/>
        <w:adjustRightInd w:val="0"/>
        <w:spacing w:after="0" w:line="240" w:lineRule="auto"/>
        <w:rPr>
          <w:rFonts w:cs="TimesTen-Bold"/>
          <w:b/>
          <w:bCs/>
        </w:rPr>
      </w:pPr>
    </w:p>
    <w:p w:rsidR="009833DA" w:rsidRDefault="009833DA" w:rsidP="009833DA">
      <w:pPr>
        <w:autoSpaceDE w:val="0"/>
        <w:autoSpaceDN w:val="0"/>
        <w:adjustRightInd w:val="0"/>
        <w:spacing w:after="0" w:line="240" w:lineRule="auto"/>
        <w:rPr>
          <w:rFonts w:cs="TimesTen-Bold"/>
          <w:b/>
          <w:bCs/>
        </w:rPr>
      </w:pPr>
    </w:p>
    <w:p w:rsidR="009833DA" w:rsidRPr="00F0639F" w:rsidRDefault="009833DA" w:rsidP="00F0639F">
      <w:pPr>
        <w:autoSpaceDE w:val="0"/>
        <w:autoSpaceDN w:val="0"/>
        <w:adjustRightInd w:val="0"/>
        <w:spacing w:after="0" w:line="240" w:lineRule="auto"/>
        <w:rPr>
          <w:rFonts w:cs="TimesTen-Bold"/>
          <w:b/>
          <w:bCs/>
          <w:sz w:val="32"/>
          <w:szCs w:val="32"/>
        </w:rPr>
      </w:pPr>
      <w:r>
        <w:rPr>
          <w:rFonts w:cs="TimesTen-Bold"/>
          <w:b/>
          <w:bCs/>
          <w:sz w:val="32"/>
          <w:szCs w:val="32"/>
        </w:rPr>
        <w:t xml:space="preserve">Repetitionsaufgaben </w:t>
      </w:r>
    </w:p>
    <w:p w:rsidR="00B07287" w:rsidRPr="00B07287" w:rsidRDefault="00B07287" w:rsidP="00B07287">
      <w:pPr>
        <w:pStyle w:val="Listenabsatz"/>
        <w:rPr>
          <w:rFonts w:cs="TimesTen-Bold"/>
          <w:bCs/>
        </w:rPr>
      </w:pPr>
    </w:p>
    <w:p w:rsidR="00B07287" w:rsidRPr="00B07287" w:rsidRDefault="00B07287" w:rsidP="00B07287">
      <w:pPr>
        <w:pStyle w:val="Listenabsatz"/>
        <w:autoSpaceDE w:val="0"/>
        <w:autoSpaceDN w:val="0"/>
        <w:adjustRightInd w:val="0"/>
        <w:spacing w:after="0" w:line="240" w:lineRule="auto"/>
        <w:ind w:left="1080"/>
        <w:rPr>
          <w:rFonts w:cs="TimesTen-Bold"/>
          <w:bCs/>
        </w:rPr>
      </w:pPr>
    </w:p>
    <w:p w:rsidR="009833DA" w:rsidRDefault="0002178F" w:rsidP="009833DA">
      <w:pPr>
        <w:autoSpaceDE w:val="0"/>
        <w:autoSpaceDN w:val="0"/>
        <w:adjustRightInd w:val="0"/>
        <w:spacing w:after="0" w:line="240" w:lineRule="auto"/>
        <w:rPr>
          <w:rFonts w:cs="TimesTen-Bold"/>
          <w:b/>
          <w:bCs/>
        </w:rPr>
      </w:pPr>
      <w:r>
        <w:rPr>
          <w:rFonts w:cs="TimesTen-Bold"/>
          <w:b/>
          <w:bCs/>
        </w:rPr>
        <w:t>Kapitel 14</w:t>
      </w:r>
    </w:p>
    <w:p w:rsidR="00F870FA" w:rsidRDefault="00F870FA" w:rsidP="009833DA">
      <w:pPr>
        <w:autoSpaceDE w:val="0"/>
        <w:autoSpaceDN w:val="0"/>
        <w:adjustRightInd w:val="0"/>
        <w:spacing w:after="0" w:line="240" w:lineRule="auto"/>
        <w:rPr>
          <w:rFonts w:cs="TimesTen-Bold"/>
          <w:b/>
          <w:bCs/>
        </w:rPr>
      </w:pPr>
    </w:p>
    <w:p w:rsidR="00F870FA" w:rsidRDefault="00F0639F" w:rsidP="00F0639F">
      <w:pPr>
        <w:pStyle w:val="Listenabsatz"/>
        <w:numPr>
          <w:ilvl w:val="0"/>
          <w:numId w:val="27"/>
        </w:numPr>
        <w:autoSpaceDE w:val="0"/>
        <w:autoSpaceDN w:val="0"/>
        <w:adjustRightInd w:val="0"/>
        <w:spacing w:after="120" w:line="240" w:lineRule="auto"/>
        <w:ind w:hanging="357"/>
        <w:contextualSpacing w:val="0"/>
        <w:rPr>
          <w:rFonts w:cs="TimesTen-Bold"/>
          <w:bCs/>
        </w:rPr>
      </w:pPr>
      <w:r>
        <w:rPr>
          <w:rFonts w:cs="TimesTen-Bold"/>
          <w:bCs/>
        </w:rPr>
        <w:t xml:space="preserve">Zur </w:t>
      </w:r>
      <w:r w:rsidRPr="00F0639F">
        <w:rPr>
          <w:rFonts w:cs="TimesTen-Bold"/>
          <w:b/>
          <w:bCs/>
        </w:rPr>
        <w:t>Zahlungsbilanz:</w:t>
      </w:r>
      <w:r>
        <w:rPr>
          <w:rFonts w:cs="TimesTen-Bold"/>
          <w:bCs/>
        </w:rPr>
        <w:t xml:space="preserve"> </w:t>
      </w:r>
    </w:p>
    <w:p w:rsidR="009833DA" w:rsidRDefault="00F0639F" w:rsidP="00F0639F">
      <w:pPr>
        <w:pStyle w:val="Listenabsatz"/>
        <w:numPr>
          <w:ilvl w:val="0"/>
          <w:numId w:val="28"/>
        </w:numPr>
        <w:autoSpaceDE w:val="0"/>
        <w:autoSpaceDN w:val="0"/>
        <w:adjustRightInd w:val="0"/>
        <w:spacing w:after="120" w:line="240" w:lineRule="auto"/>
        <w:ind w:hanging="357"/>
        <w:contextualSpacing w:val="0"/>
        <w:rPr>
          <w:rFonts w:cs="TimesTen-Roman"/>
        </w:rPr>
      </w:pPr>
      <w:r w:rsidRPr="00F0639F">
        <w:rPr>
          <w:rFonts w:cs="TimesTen-Roman"/>
          <w:b/>
        </w:rPr>
        <w:t>Inhalt:</w:t>
      </w:r>
      <w:r>
        <w:rPr>
          <w:rFonts w:cs="TimesTen-Roman"/>
        </w:rPr>
        <w:t xml:space="preserve"> </w:t>
      </w:r>
      <w:r w:rsidR="009833DA" w:rsidRPr="009833DA">
        <w:rPr>
          <w:rFonts w:cs="TimesTen-Roman"/>
        </w:rPr>
        <w:t>Sie erfasst die Transaktionen der Inländer mit dem «Rest der Welt».</w:t>
      </w:r>
    </w:p>
    <w:p w:rsidR="009833DA" w:rsidRPr="00F870FA" w:rsidRDefault="00F0639F" w:rsidP="00F0639F">
      <w:pPr>
        <w:pStyle w:val="Listenabsatz"/>
        <w:numPr>
          <w:ilvl w:val="0"/>
          <w:numId w:val="28"/>
        </w:numPr>
        <w:autoSpaceDE w:val="0"/>
        <w:autoSpaceDN w:val="0"/>
        <w:adjustRightInd w:val="0"/>
        <w:spacing w:after="120" w:line="240" w:lineRule="auto"/>
        <w:ind w:hanging="357"/>
        <w:contextualSpacing w:val="0"/>
        <w:rPr>
          <w:rFonts w:cs="TimesTen-Bold"/>
          <w:bCs/>
        </w:rPr>
      </w:pPr>
      <w:r w:rsidRPr="00F0639F">
        <w:rPr>
          <w:rFonts w:cs="TimesTen-Roman"/>
          <w:b/>
        </w:rPr>
        <w:t>Begriff:</w:t>
      </w:r>
      <w:r>
        <w:rPr>
          <w:rFonts w:cs="TimesTen-Roman"/>
        </w:rPr>
        <w:t xml:space="preserve"> </w:t>
      </w:r>
      <w:r w:rsidR="009833DA" w:rsidRPr="00F870FA">
        <w:rPr>
          <w:rFonts w:cs="TimesTen-Roman"/>
        </w:rPr>
        <w:t>Kein guter Begriff, weil es sich erstens nicht um eine Bilanz handelt (es werden</w:t>
      </w:r>
      <w:r w:rsidR="00F870FA">
        <w:rPr>
          <w:rFonts w:cs="TimesTen-Roman"/>
        </w:rPr>
        <w:t xml:space="preserve"> </w:t>
      </w:r>
      <w:r w:rsidR="009833DA" w:rsidRPr="00F870FA">
        <w:rPr>
          <w:rFonts w:cs="TimesTen-Roman"/>
        </w:rPr>
        <w:t xml:space="preserve">nicht Bestandes-, sondern </w:t>
      </w:r>
      <w:proofErr w:type="spellStart"/>
      <w:r w:rsidR="009833DA" w:rsidRPr="00F870FA">
        <w:rPr>
          <w:rFonts w:cs="TimesTen-Roman"/>
        </w:rPr>
        <w:t>Flussgrössen</w:t>
      </w:r>
      <w:proofErr w:type="spellEnd"/>
      <w:r w:rsidR="009833DA" w:rsidRPr="00F870FA">
        <w:rPr>
          <w:rFonts w:cs="TimesTen-Roman"/>
        </w:rPr>
        <w:t xml:space="preserve"> erfasst) und zweitens werden nicht nur</w:t>
      </w:r>
      <w:r w:rsidR="00F870FA">
        <w:rPr>
          <w:rFonts w:cs="TimesTen-Roman"/>
        </w:rPr>
        <w:t xml:space="preserve"> </w:t>
      </w:r>
      <w:r w:rsidR="009833DA" w:rsidRPr="00F870FA">
        <w:rPr>
          <w:rFonts w:cs="TimesTen-Roman"/>
        </w:rPr>
        <w:t>Zahlungen, sondern z.B. auch Kreditgewährungen erfasst.</w:t>
      </w:r>
    </w:p>
    <w:p w:rsidR="009833DA" w:rsidRPr="003730AA" w:rsidRDefault="00F0639F" w:rsidP="00F0639F">
      <w:pPr>
        <w:pStyle w:val="Listenabsatz"/>
        <w:numPr>
          <w:ilvl w:val="0"/>
          <w:numId w:val="28"/>
        </w:numPr>
        <w:autoSpaceDE w:val="0"/>
        <w:autoSpaceDN w:val="0"/>
        <w:adjustRightInd w:val="0"/>
        <w:spacing w:after="120" w:line="240" w:lineRule="auto"/>
        <w:ind w:hanging="357"/>
        <w:contextualSpacing w:val="0"/>
        <w:rPr>
          <w:rFonts w:cs="TimesTen-Bold"/>
          <w:bCs/>
        </w:rPr>
      </w:pPr>
      <w:r w:rsidRPr="00F0639F">
        <w:rPr>
          <w:rFonts w:cs="TimesTen-Roman"/>
          <w:b/>
        </w:rPr>
        <w:t>Bedeutung Leistungsbilanzdefizit:</w:t>
      </w:r>
      <w:r>
        <w:rPr>
          <w:rFonts w:cs="TimesTen-Roman"/>
        </w:rPr>
        <w:t xml:space="preserve"> </w:t>
      </w:r>
      <w:r w:rsidR="009833DA" w:rsidRPr="003730AA">
        <w:rPr>
          <w:rFonts w:cs="TimesTen-Roman"/>
        </w:rPr>
        <w:t xml:space="preserve">Ein Defizit in der </w:t>
      </w:r>
      <w:r w:rsidR="003730AA">
        <w:rPr>
          <w:rFonts w:cs="TimesTen-Roman"/>
        </w:rPr>
        <w:t>Leistung</w:t>
      </w:r>
      <w:r w:rsidR="009833DA" w:rsidRPr="003730AA">
        <w:rPr>
          <w:rFonts w:cs="TimesTen-Roman"/>
        </w:rPr>
        <w:t>sbilanz bedeutet, dass im Handel mit dem Ausland mehr</w:t>
      </w:r>
      <w:r w:rsidR="003730AA">
        <w:rPr>
          <w:rFonts w:cs="TimesTen-Roman"/>
        </w:rPr>
        <w:t xml:space="preserve"> </w:t>
      </w:r>
      <w:r w:rsidR="009833DA" w:rsidRPr="003730AA">
        <w:rPr>
          <w:rFonts w:cs="TimesTen-Roman"/>
        </w:rPr>
        <w:t>ausgegeben als eingenommen wird. Deshalb muss die Kapitalverkehrsbilanz einen</w:t>
      </w:r>
      <w:r w:rsidR="003730AA">
        <w:rPr>
          <w:rFonts w:cs="TimesTen-Roman"/>
        </w:rPr>
        <w:t xml:space="preserve"> </w:t>
      </w:r>
      <w:r w:rsidR="009833DA" w:rsidRPr="003730AA">
        <w:rPr>
          <w:rFonts w:cs="TimesTen-Roman"/>
        </w:rPr>
        <w:t>Überschuss ausweisen, d.h. es muss mehr Kapital importiert als exportiert</w:t>
      </w:r>
      <w:r w:rsidR="003730AA">
        <w:rPr>
          <w:rFonts w:cs="TimesTen-Roman"/>
        </w:rPr>
        <w:t xml:space="preserve"> </w:t>
      </w:r>
      <w:r w:rsidR="009833DA" w:rsidRPr="003730AA">
        <w:rPr>
          <w:rFonts w:cs="TimesTen-Roman"/>
        </w:rPr>
        <w:t>werden, wodurch die Verschuldung im Ausland steigt.</w:t>
      </w:r>
    </w:p>
    <w:p w:rsidR="003730AA" w:rsidRDefault="003730AA" w:rsidP="003730AA">
      <w:pPr>
        <w:autoSpaceDE w:val="0"/>
        <w:autoSpaceDN w:val="0"/>
        <w:adjustRightInd w:val="0"/>
        <w:spacing w:after="0" w:line="240" w:lineRule="auto"/>
        <w:rPr>
          <w:rFonts w:cs="TimesTen-Bold"/>
          <w:bCs/>
        </w:rPr>
      </w:pPr>
    </w:p>
    <w:p w:rsidR="003730AA" w:rsidRDefault="00F0639F" w:rsidP="00F0639F">
      <w:pPr>
        <w:pStyle w:val="Listenabsatz"/>
        <w:numPr>
          <w:ilvl w:val="0"/>
          <w:numId w:val="27"/>
        </w:numPr>
        <w:autoSpaceDE w:val="0"/>
        <w:autoSpaceDN w:val="0"/>
        <w:adjustRightInd w:val="0"/>
        <w:spacing w:after="120" w:line="240" w:lineRule="auto"/>
        <w:ind w:hanging="357"/>
        <w:contextualSpacing w:val="0"/>
        <w:rPr>
          <w:rFonts w:cs="TimesTen-Bold"/>
          <w:bCs/>
        </w:rPr>
      </w:pPr>
      <w:r>
        <w:rPr>
          <w:rFonts w:cs="TimesTen-Bold"/>
          <w:bCs/>
        </w:rPr>
        <w:t xml:space="preserve">Zu den </w:t>
      </w:r>
      <w:r w:rsidRPr="00F0639F">
        <w:rPr>
          <w:rFonts w:cs="TimesTen-Bold"/>
          <w:b/>
          <w:bCs/>
        </w:rPr>
        <w:t>Teilbilanzen</w:t>
      </w:r>
      <w:r>
        <w:rPr>
          <w:rFonts w:cs="TimesTen-Bold"/>
          <w:bCs/>
        </w:rPr>
        <w:t xml:space="preserve"> der Zahlungsbilanz:</w:t>
      </w:r>
    </w:p>
    <w:p w:rsidR="00F0639F" w:rsidRPr="00F0639F" w:rsidRDefault="00ED2F29" w:rsidP="00F0639F">
      <w:pPr>
        <w:pStyle w:val="Listenabsatz"/>
        <w:numPr>
          <w:ilvl w:val="0"/>
          <w:numId w:val="29"/>
        </w:numPr>
        <w:autoSpaceDE w:val="0"/>
        <w:autoSpaceDN w:val="0"/>
        <w:adjustRightInd w:val="0"/>
        <w:spacing w:after="120" w:line="240" w:lineRule="auto"/>
        <w:ind w:hanging="357"/>
        <w:contextualSpacing w:val="0"/>
        <w:rPr>
          <w:rFonts w:cs="TimesTen-Bold"/>
          <w:bCs/>
        </w:rPr>
      </w:pPr>
      <w:r w:rsidRPr="00ED2F29">
        <w:rPr>
          <w:b/>
        </w:rPr>
        <w:t>Teilbilanzen</w:t>
      </w:r>
      <w:r>
        <w:t xml:space="preserve">: </w:t>
      </w:r>
      <w:r w:rsidR="00F0639F" w:rsidRPr="00F0639F">
        <w:t>Handelsbilanz, Dienstleistungsbilanz, Bilanz der Primäreinkommen (Arbeits- und Kapitaleinkommen</w:t>
      </w:r>
      <w:r w:rsidR="00F0639F">
        <w:t>),</w:t>
      </w:r>
      <w:r w:rsidR="00F0639F" w:rsidRPr="00F0639F">
        <w:t xml:space="preserve"> die Bilanz der Sekundäreinkommen (einseitige Übertragungen)</w:t>
      </w:r>
      <w:r w:rsidR="00F0639F">
        <w:t>.</w:t>
      </w:r>
      <w:r w:rsidR="00F0639F" w:rsidRPr="00F0639F">
        <w:t xml:space="preserve"> </w:t>
      </w:r>
      <w:r w:rsidR="00F0639F">
        <w:t>(Der Vollständigkeit halber, wenn auch von untergeordneter Bedeutung, ist die Bilanz der Vermögensübertragungen.</w:t>
      </w:r>
    </w:p>
    <w:p w:rsidR="00F0639F" w:rsidRPr="00F0639F" w:rsidRDefault="00ED2F29" w:rsidP="00ED2F29">
      <w:pPr>
        <w:pStyle w:val="Default"/>
        <w:numPr>
          <w:ilvl w:val="0"/>
          <w:numId w:val="29"/>
        </w:numPr>
        <w:spacing w:after="120"/>
        <w:ind w:left="1077" w:hanging="357"/>
      </w:pPr>
      <w:r w:rsidRPr="00ED2F29">
        <w:rPr>
          <w:b/>
          <w:sz w:val="22"/>
          <w:szCs w:val="22"/>
        </w:rPr>
        <w:t>Saldo der Teilbilanzen:</w:t>
      </w:r>
      <w:r>
        <w:rPr>
          <w:sz w:val="22"/>
          <w:szCs w:val="22"/>
        </w:rPr>
        <w:t xml:space="preserve"> </w:t>
      </w:r>
      <w:r w:rsidR="00F0639F" w:rsidRPr="00F0639F">
        <w:rPr>
          <w:sz w:val="22"/>
          <w:szCs w:val="22"/>
        </w:rPr>
        <w:t xml:space="preserve">Normalerweise weisen die Handelsbilanz, die Dienstleistungsbilanz und die Bilanz der Primäreinkommen einen Überschuss aus. Die Bilanz der Sekundäreinkommen ist defizitär. </w:t>
      </w:r>
    </w:p>
    <w:p w:rsidR="00ED2F29" w:rsidRPr="00ED2F29" w:rsidRDefault="00ED2F29" w:rsidP="00ED2F29">
      <w:pPr>
        <w:pStyle w:val="Default"/>
        <w:numPr>
          <w:ilvl w:val="0"/>
          <w:numId w:val="29"/>
        </w:numPr>
        <w:spacing w:after="120"/>
        <w:ind w:left="1077" w:hanging="357"/>
      </w:pPr>
      <w:r w:rsidRPr="00ED2F29">
        <w:rPr>
          <w:b/>
          <w:sz w:val="22"/>
          <w:szCs w:val="22"/>
        </w:rPr>
        <w:t>Saldo der Leistungsbilanz:</w:t>
      </w:r>
      <w:r>
        <w:rPr>
          <w:sz w:val="22"/>
          <w:szCs w:val="22"/>
        </w:rPr>
        <w:t xml:space="preserve"> </w:t>
      </w:r>
      <w:r w:rsidRPr="00ED2F29">
        <w:rPr>
          <w:sz w:val="22"/>
          <w:szCs w:val="22"/>
        </w:rPr>
        <w:t xml:space="preserve">Die Leistungsbilanz weist einen Überschuss aus; hauptverantwortlich dafür war in den letzten Jahren der Überschuss in der Handelsbilanz. </w:t>
      </w:r>
    </w:p>
    <w:p w:rsidR="009833DA" w:rsidRPr="00ED2F29" w:rsidRDefault="00ED2F29" w:rsidP="00ED2F29">
      <w:pPr>
        <w:pStyle w:val="Listenabsatz"/>
        <w:numPr>
          <w:ilvl w:val="0"/>
          <w:numId w:val="29"/>
        </w:numPr>
        <w:autoSpaceDE w:val="0"/>
        <w:autoSpaceDN w:val="0"/>
        <w:adjustRightInd w:val="0"/>
        <w:spacing w:after="120" w:line="240" w:lineRule="auto"/>
        <w:ind w:hanging="357"/>
        <w:contextualSpacing w:val="0"/>
        <w:rPr>
          <w:rFonts w:cs="TimesTen-Bold"/>
          <w:bCs/>
        </w:rPr>
      </w:pPr>
      <w:r w:rsidRPr="00ED2F29">
        <w:rPr>
          <w:rFonts w:cs="TimesTen-Roman"/>
          <w:b/>
          <w:lang w:val="de-CH"/>
        </w:rPr>
        <w:t>Wichtigste Partnerländer:</w:t>
      </w:r>
      <w:r>
        <w:rPr>
          <w:rFonts w:cs="TimesTen-Roman"/>
          <w:lang w:val="de-CH"/>
        </w:rPr>
        <w:t xml:space="preserve"> </w:t>
      </w:r>
      <w:r w:rsidR="009833DA" w:rsidRPr="00ED2F29">
        <w:rPr>
          <w:rFonts w:cs="TimesTen-Roman"/>
        </w:rPr>
        <w:t xml:space="preserve">Die Länder Europas </w:t>
      </w:r>
      <w:r w:rsidR="003730AA" w:rsidRPr="00ED2F29">
        <w:rPr>
          <w:rFonts w:cs="TimesTen-Roman"/>
        </w:rPr>
        <w:t xml:space="preserve">– allen voran Deutschland - </w:t>
      </w:r>
      <w:r w:rsidR="009833DA" w:rsidRPr="00ED2F29">
        <w:rPr>
          <w:rFonts w:cs="TimesTen-Roman"/>
        </w:rPr>
        <w:t>sind sowohl die wichtigsten Kunden als auch Lieferanten</w:t>
      </w:r>
      <w:r w:rsidR="003730AA" w:rsidRPr="00ED2F29">
        <w:rPr>
          <w:rFonts w:cs="TimesTen-Roman"/>
        </w:rPr>
        <w:t xml:space="preserve"> </w:t>
      </w:r>
      <w:r w:rsidR="009833DA" w:rsidRPr="00ED2F29">
        <w:rPr>
          <w:rFonts w:cs="TimesTen-Roman"/>
        </w:rPr>
        <w:t>der schweizerischen Volkswirtschaft.</w:t>
      </w:r>
    </w:p>
    <w:p w:rsidR="003730AA" w:rsidRDefault="003730AA" w:rsidP="003730AA">
      <w:pPr>
        <w:autoSpaceDE w:val="0"/>
        <w:autoSpaceDN w:val="0"/>
        <w:adjustRightInd w:val="0"/>
        <w:spacing w:after="0" w:line="240" w:lineRule="auto"/>
        <w:rPr>
          <w:rFonts w:cs="TimesTen-Bold"/>
          <w:bCs/>
        </w:rPr>
      </w:pPr>
    </w:p>
    <w:p w:rsidR="00FC3F0B" w:rsidRPr="00FC3F0B" w:rsidRDefault="00FC3F0B" w:rsidP="00FC3F0B">
      <w:pPr>
        <w:pStyle w:val="Listenabsatz"/>
        <w:numPr>
          <w:ilvl w:val="0"/>
          <w:numId w:val="27"/>
        </w:numPr>
        <w:autoSpaceDE w:val="0"/>
        <w:autoSpaceDN w:val="0"/>
        <w:adjustRightInd w:val="0"/>
        <w:spacing w:after="0" w:line="240" w:lineRule="auto"/>
        <w:rPr>
          <w:rFonts w:cs="TimesTen-Bold"/>
          <w:bCs/>
        </w:rPr>
      </w:pPr>
      <w:r w:rsidRPr="00FC3F0B">
        <w:rPr>
          <w:b/>
        </w:rPr>
        <w:t>Saldo der Kapitalbilanz:</w:t>
      </w:r>
      <w:r>
        <w:t xml:space="preserve"> </w:t>
      </w:r>
      <w:r w:rsidRPr="00FC3F0B">
        <w:t xml:space="preserve">Die Kapitalbilanz weist – als Spiegelbild der Leistungsbilanz – ein Defizit aus. Hauptverantwortlich dafür waren in den letzten Jahren die Devisenkäufe der Schweizerischen Nationalbank. </w:t>
      </w:r>
    </w:p>
    <w:p w:rsidR="003730AA" w:rsidRPr="00FC3F0B" w:rsidRDefault="003730AA" w:rsidP="003730AA">
      <w:pPr>
        <w:pStyle w:val="Listenabsatz"/>
        <w:autoSpaceDE w:val="0"/>
        <w:autoSpaceDN w:val="0"/>
        <w:adjustRightInd w:val="0"/>
        <w:spacing w:after="0" w:line="240" w:lineRule="auto"/>
        <w:rPr>
          <w:rFonts w:cs="TimesTen-Bold"/>
          <w:bCs/>
          <w:lang w:val="de-CH"/>
        </w:rPr>
      </w:pPr>
    </w:p>
    <w:p w:rsidR="00FC3F0B" w:rsidRPr="00FC3F0B" w:rsidRDefault="00FC3F0B" w:rsidP="00FC3F0B">
      <w:pPr>
        <w:pStyle w:val="Listenabsatz"/>
        <w:numPr>
          <w:ilvl w:val="0"/>
          <w:numId w:val="27"/>
        </w:numPr>
        <w:autoSpaceDE w:val="0"/>
        <w:autoSpaceDN w:val="0"/>
        <w:adjustRightInd w:val="0"/>
        <w:spacing w:after="0" w:line="240" w:lineRule="auto"/>
        <w:rPr>
          <w:rFonts w:cs="TimesTen-Bold"/>
          <w:bCs/>
        </w:rPr>
      </w:pPr>
      <w:r w:rsidRPr="00FC3F0B">
        <w:rPr>
          <w:b/>
        </w:rPr>
        <w:t>„Statistische Fehler“:</w:t>
      </w:r>
      <w:r>
        <w:t xml:space="preserve"> </w:t>
      </w:r>
      <w:r w:rsidRPr="00FC3F0B">
        <w:t xml:space="preserve">Jede Transaktion mit dem Ausland entspricht einem Tauschvorgang. Jede Transaktion löst zwei Ströme aus und erfordert demzufolge zwei Buchungen. In der Zahlungsbilanz muss der Saldo der Leistungsbilanz deshalb dem Saldo der Kapitalbilanz entsprechen. Weil sie in Wirklichkeit nie aufgeht, ergibt sich eine Position Restposten, bei dem es sich um Lücken und Fehler in der statistischen Erhebung handeln muss. </w:t>
      </w:r>
    </w:p>
    <w:p w:rsidR="003730AA" w:rsidRPr="00FC3F0B" w:rsidRDefault="003730AA" w:rsidP="003730AA">
      <w:pPr>
        <w:pStyle w:val="Listenabsatz"/>
        <w:rPr>
          <w:rFonts w:cs="TimesTen-Bold"/>
          <w:bCs/>
          <w:lang w:val="de-CH"/>
        </w:rPr>
      </w:pPr>
    </w:p>
    <w:p w:rsidR="00FC3F0B" w:rsidRPr="00FC3F0B" w:rsidRDefault="00FC3F0B" w:rsidP="00FC3F0B">
      <w:pPr>
        <w:pStyle w:val="Listenabsatz"/>
        <w:numPr>
          <w:ilvl w:val="0"/>
          <w:numId w:val="27"/>
        </w:numPr>
        <w:autoSpaceDE w:val="0"/>
        <w:autoSpaceDN w:val="0"/>
        <w:adjustRightInd w:val="0"/>
        <w:spacing w:after="0" w:line="240" w:lineRule="auto"/>
        <w:rPr>
          <w:rFonts w:cs="TimesTen-Bold"/>
          <w:bCs/>
        </w:rPr>
      </w:pPr>
      <w:r w:rsidRPr="00FC3F0B">
        <w:rPr>
          <w:rFonts w:cs="TimesTen-Roman"/>
          <w:b/>
        </w:rPr>
        <w:t>Auslandvermögen der Schweiz:</w:t>
      </w:r>
      <w:r>
        <w:rPr>
          <w:rFonts w:cs="TimesTen-Roman"/>
        </w:rPr>
        <w:t xml:space="preserve"> </w:t>
      </w:r>
      <w:r w:rsidRPr="00FC3F0B">
        <w:t xml:space="preserve">Direktinvestitionen, Portfolioinvestitionen und Währungsreserven. </w:t>
      </w:r>
    </w:p>
    <w:p w:rsidR="003730AA" w:rsidRPr="003730AA" w:rsidRDefault="003730AA" w:rsidP="003730AA">
      <w:pPr>
        <w:pStyle w:val="Listenabsatz"/>
        <w:rPr>
          <w:rFonts w:cs="TimesTen-Bold"/>
          <w:bCs/>
        </w:rPr>
      </w:pPr>
    </w:p>
    <w:p w:rsidR="00DD669A" w:rsidRPr="009833DA" w:rsidRDefault="00DD669A" w:rsidP="009833DA">
      <w:bookmarkStart w:id="0" w:name="_GoBack"/>
      <w:bookmarkEnd w:id="0"/>
    </w:p>
    <w:sectPr w:rsidR="00DD669A" w:rsidRPr="009833DA" w:rsidSect="00957AA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718" w:rsidRDefault="00F11718" w:rsidP="00652B65">
      <w:pPr>
        <w:spacing w:after="0" w:line="240" w:lineRule="auto"/>
      </w:pPr>
      <w:r>
        <w:separator/>
      </w:r>
    </w:p>
  </w:endnote>
  <w:endnote w:type="continuationSeparator" w:id="0">
    <w:p w:rsidR="00F11718" w:rsidRDefault="00F11718" w:rsidP="0065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Ten-Bold">
    <w:panose1 w:val="00000000000000000000"/>
    <w:charset w:val="00"/>
    <w:family w:val="roman"/>
    <w:notTrueType/>
    <w:pitch w:val="default"/>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Ten-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718" w:rsidRDefault="00F11718" w:rsidP="00652B65">
      <w:pPr>
        <w:spacing w:after="0" w:line="240" w:lineRule="auto"/>
      </w:pPr>
      <w:r>
        <w:separator/>
      </w:r>
    </w:p>
  </w:footnote>
  <w:footnote w:type="continuationSeparator" w:id="0">
    <w:p w:rsidR="00F11718" w:rsidRDefault="00F11718" w:rsidP="00652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718" w:rsidRPr="007419E2" w:rsidRDefault="00F11718">
    <w:pPr>
      <w:pStyle w:val="Kopfzeile"/>
      <w:pBdr>
        <w:bottom w:val="single" w:sz="12" w:space="1" w:color="auto"/>
      </w:pBdr>
      <w:rPr>
        <w:sz w:val="16"/>
        <w:szCs w:val="16"/>
        <w:lang w:val="de-CH"/>
      </w:rPr>
    </w:pPr>
    <w:r>
      <w:rPr>
        <w:sz w:val="16"/>
        <w:szCs w:val="16"/>
        <w:lang w:val="de-CH"/>
      </w:rPr>
      <w:t xml:space="preserve">Lösungen zu den Repetitionsfragen, </w:t>
    </w:r>
    <w:r w:rsidRPr="00F36267">
      <w:rPr>
        <w:sz w:val="16"/>
        <w:szCs w:val="16"/>
        <w:lang w:val="de-CH"/>
      </w:rPr>
      <w:t>Aktuelle Volkswirtschaftslehre, Peter Eisenhut</w:t>
    </w:r>
    <w:r>
      <w:rPr>
        <w:lang w:val="de-CH"/>
      </w:rPr>
      <w:tab/>
    </w:r>
    <w:r w:rsidRPr="00F36267">
      <w:rPr>
        <w:noProof/>
        <w:lang w:eastAsia="de-DE"/>
      </w:rPr>
      <w:drawing>
        <wp:inline distT="0" distB="0" distL="0" distR="0">
          <wp:extent cx="300654" cy="318052"/>
          <wp:effectExtent l="19050" t="0" r="4146" b="0"/>
          <wp:docPr id="3" name="Bild 3"/>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cstate="print"/>
                  <a:srcRect/>
                  <a:stretch>
                    <a:fillRect/>
                  </a:stretch>
                </pic:blipFill>
                <pic:spPr bwMode="auto">
                  <a:xfrm>
                    <a:off x="0" y="0"/>
                    <a:ext cx="303962" cy="321552"/>
                  </a:xfrm>
                  <a:prstGeom prst="rect">
                    <a:avLst/>
                  </a:prstGeom>
                  <a:noFill/>
                  <a:ln w="9525">
                    <a:noFill/>
                    <a:miter lim="800000"/>
                    <a:headEnd/>
                    <a:tailEnd/>
                  </a:ln>
                  <a:effectLst/>
                </pic:spPr>
              </pic:pic>
            </a:graphicData>
          </a:graphic>
        </wp:inline>
      </w:drawing>
    </w:r>
  </w:p>
  <w:p w:rsidR="00F11718" w:rsidRPr="00F36267" w:rsidRDefault="00F11718">
    <w:pPr>
      <w:pStyle w:val="Kopfzeile"/>
      <w:rPr>
        <w:lang w:val="de-CH"/>
      </w:rPr>
    </w:pP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747B"/>
    <w:multiLevelType w:val="hybridMultilevel"/>
    <w:tmpl w:val="B4FE198C"/>
    <w:lvl w:ilvl="0" w:tplc="28A49104">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748061A"/>
    <w:multiLevelType w:val="hybridMultilevel"/>
    <w:tmpl w:val="9F1C838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7A6A86"/>
    <w:multiLevelType w:val="hybridMultilevel"/>
    <w:tmpl w:val="A03EE02C"/>
    <w:lvl w:ilvl="0" w:tplc="F6F0017E">
      <w:start w:val="1"/>
      <w:numFmt w:val="lowerLetter"/>
      <w:lvlText w:val="%1)"/>
      <w:lvlJc w:val="left"/>
      <w:pPr>
        <w:ind w:left="1069" w:hanging="360"/>
      </w:pPr>
      <w:rPr>
        <w:rFonts w:cs="TimesTen-Bold"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099B274A"/>
    <w:multiLevelType w:val="hybridMultilevel"/>
    <w:tmpl w:val="F11412BC"/>
    <w:lvl w:ilvl="0" w:tplc="B2EC8B8C">
      <w:start w:val="1"/>
      <w:numFmt w:val="lowerLetter"/>
      <w:lvlText w:val="%1)"/>
      <w:lvlJc w:val="left"/>
      <w:pPr>
        <w:ind w:left="1440" w:hanging="360"/>
      </w:pPr>
      <w:rPr>
        <w:rFonts w:cs="TimesTen-Bold"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0AC304A7"/>
    <w:multiLevelType w:val="hybridMultilevel"/>
    <w:tmpl w:val="24E6DB34"/>
    <w:lvl w:ilvl="0" w:tplc="209C421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0BBA0DB8"/>
    <w:multiLevelType w:val="hybridMultilevel"/>
    <w:tmpl w:val="43EE6DBC"/>
    <w:lvl w:ilvl="0" w:tplc="D17CF948">
      <w:start w:val="1"/>
      <w:numFmt w:val="lowerLetter"/>
      <w:lvlText w:val="%1)"/>
      <w:lvlJc w:val="left"/>
      <w:pPr>
        <w:ind w:left="1080" w:hanging="360"/>
      </w:pPr>
      <w:rPr>
        <w:rFonts w:cs="TimesTen-Bold"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12200E03"/>
    <w:multiLevelType w:val="hybridMultilevel"/>
    <w:tmpl w:val="D26645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9C1E33"/>
    <w:multiLevelType w:val="hybridMultilevel"/>
    <w:tmpl w:val="7BB6647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16F6235B"/>
    <w:multiLevelType w:val="hybridMultilevel"/>
    <w:tmpl w:val="14C4E2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7F547DE"/>
    <w:multiLevelType w:val="hybridMultilevel"/>
    <w:tmpl w:val="31B68BEA"/>
    <w:lvl w:ilvl="0" w:tplc="73F60B2E">
      <w:start w:val="1"/>
      <w:numFmt w:val="bullet"/>
      <w:lvlText w:val="-"/>
      <w:lvlJc w:val="left"/>
      <w:pPr>
        <w:ind w:left="1080" w:hanging="360"/>
      </w:pPr>
      <w:rPr>
        <w:rFonts w:ascii="Calibri" w:eastAsiaTheme="minorHAnsi" w:hAnsi="Calibri" w:cs="TimesTen-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182909B1"/>
    <w:multiLevelType w:val="hybridMultilevel"/>
    <w:tmpl w:val="4B322784"/>
    <w:lvl w:ilvl="0" w:tplc="D17CF948">
      <w:start w:val="1"/>
      <w:numFmt w:val="lowerLetter"/>
      <w:lvlText w:val="%1)"/>
      <w:lvlJc w:val="left"/>
      <w:pPr>
        <w:ind w:left="1080" w:hanging="360"/>
      </w:pPr>
      <w:rPr>
        <w:rFonts w:cs="TimesTen-Bold"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A710B13"/>
    <w:multiLevelType w:val="hybridMultilevel"/>
    <w:tmpl w:val="CDA863A6"/>
    <w:lvl w:ilvl="0" w:tplc="9B987FF2">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21742A03"/>
    <w:multiLevelType w:val="hybridMultilevel"/>
    <w:tmpl w:val="DE3E96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6D75165"/>
    <w:multiLevelType w:val="hybridMultilevel"/>
    <w:tmpl w:val="FBC8A9A8"/>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7B0358C"/>
    <w:multiLevelType w:val="hybridMultilevel"/>
    <w:tmpl w:val="1960C54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290F68F4"/>
    <w:multiLevelType w:val="hybridMultilevel"/>
    <w:tmpl w:val="E054ABD2"/>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1C63DE9"/>
    <w:multiLevelType w:val="hybridMultilevel"/>
    <w:tmpl w:val="C3C29A0A"/>
    <w:lvl w:ilvl="0" w:tplc="372048C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33D76E13"/>
    <w:multiLevelType w:val="hybridMultilevel"/>
    <w:tmpl w:val="430479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B804A9A"/>
    <w:multiLevelType w:val="hybridMultilevel"/>
    <w:tmpl w:val="3DC64E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00A72E9"/>
    <w:multiLevelType w:val="hybridMultilevel"/>
    <w:tmpl w:val="68AE43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0B93E65"/>
    <w:multiLevelType w:val="hybridMultilevel"/>
    <w:tmpl w:val="6F44096A"/>
    <w:lvl w:ilvl="0" w:tplc="9E968136">
      <w:start w:val="1"/>
      <w:numFmt w:val="lowerLetter"/>
      <w:lvlText w:val="%1)"/>
      <w:lvlJc w:val="left"/>
      <w:pPr>
        <w:ind w:left="1428" w:hanging="360"/>
      </w:pPr>
      <w:rPr>
        <w:rFonts w:cs="TimesTen-Roman"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1" w15:restartNumberingAfterBreak="0">
    <w:nsid w:val="46DA5073"/>
    <w:multiLevelType w:val="hybridMultilevel"/>
    <w:tmpl w:val="D2D8439E"/>
    <w:lvl w:ilvl="0" w:tplc="D17CF948">
      <w:start w:val="1"/>
      <w:numFmt w:val="lowerLetter"/>
      <w:lvlText w:val="%1)"/>
      <w:lvlJc w:val="left"/>
      <w:pPr>
        <w:ind w:left="1080" w:hanging="360"/>
      </w:pPr>
      <w:rPr>
        <w:rFonts w:cs="TimesTen-Bold"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485B046B"/>
    <w:multiLevelType w:val="hybridMultilevel"/>
    <w:tmpl w:val="684249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8C45BAD"/>
    <w:multiLevelType w:val="hybridMultilevel"/>
    <w:tmpl w:val="A32ECB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0E65C05"/>
    <w:multiLevelType w:val="hybridMultilevel"/>
    <w:tmpl w:val="4532F5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3BC24D5"/>
    <w:multiLevelType w:val="hybridMultilevel"/>
    <w:tmpl w:val="5E30AC6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4686DEF"/>
    <w:multiLevelType w:val="hybridMultilevel"/>
    <w:tmpl w:val="58A62B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85E5428"/>
    <w:multiLevelType w:val="hybridMultilevel"/>
    <w:tmpl w:val="1A2C487A"/>
    <w:lvl w:ilvl="0" w:tplc="209C421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5B9D56FD"/>
    <w:multiLevelType w:val="hybridMultilevel"/>
    <w:tmpl w:val="0290C5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C8820B6"/>
    <w:multiLevelType w:val="hybridMultilevel"/>
    <w:tmpl w:val="F1EEB852"/>
    <w:lvl w:ilvl="0" w:tplc="67ACCD56">
      <w:start w:val="1"/>
      <w:numFmt w:val="lowerLetter"/>
      <w:lvlText w:val="%1)"/>
      <w:lvlJc w:val="left"/>
      <w:pPr>
        <w:ind w:left="1068" w:hanging="360"/>
      </w:pPr>
      <w:rPr>
        <w:rFonts w:cs="TimesTen-Bold"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0" w15:restartNumberingAfterBreak="0">
    <w:nsid w:val="60C95737"/>
    <w:multiLevelType w:val="hybridMultilevel"/>
    <w:tmpl w:val="98A6A552"/>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0617947"/>
    <w:multiLevelType w:val="hybridMultilevel"/>
    <w:tmpl w:val="BB9A7E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7140CEB"/>
    <w:multiLevelType w:val="hybridMultilevel"/>
    <w:tmpl w:val="71D8CD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FD731CB"/>
    <w:multiLevelType w:val="hybridMultilevel"/>
    <w:tmpl w:val="FBC8D874"/>
    <w:lvl w:ilvl="0" w:tplc="3E581B20">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18"/>
  </w:num>
  <w:num w:numId="2">
    <w:abstractNumId w:val="24"/>
  </w:num>
  <w:num w:numId="3">
    <w:abstractNumId w:val="12"/>
  </w:num>
  <w:num w:numId="4">
    <w:abstractNumId w:val="25"/>
  </w:num>
  <w:num w:numId="5">
    <w:abstractNumId w:val="28"/>
  </w:num>
  <w:num w:numId="6">
    <w:abstractNumId w:val="22"/>
  </w:num>
  <w:num w:numId="7">
    <w:abstractNumId w:val="4"/>
  </w:num>
  <w:num w:numId="8">
    <w:abstractNumId w:val="6"/>
  </w:num>
  <w:num w:numId="9">
    <w:abstractNumId w:val="9"/>
  </w:num>
  <w:num w:numId="10">
    <w:abstractNumId w:val="32"/>
  </w:num>
  <w:num w:numId="11">
    <w:abstractNumId w:val="27"/>
  </w:num>
  <w:num w:numId="12">
    <w:abstractNumId w:val="13"/>
  </w:num>
  <w:num w:numId="13">
    <w:abstractNumId w:val="11"/>
  </w:num>
  <w:num w:numId="14">
    <w:abstractNumId w:val="33"/>
  </w:num>
  <w:num w:numId="15">
    <w:abstractNumId w:val="14"/>
  </w:num>
  <w:num w:numId="16">
    <w:abstractNumId w:val="17"/>
  </w:num>
  <w:num w:numId="17">
    <w:abstractNumId w:val="7"/>
  </w:num>
  <w:num w:numId="18">
    <w:abstractNumId w:val="1"/>
  </w:num>
  <w:num w:numId="19">
    <w:abstractNumId w:val="8"/>
  </w:num>
  <w:num w:numId="20">
    <w:abstractNumId w:val="26"/>
  </w:num>
  <w:num w:numId="21">
    <w:abstractNumId w:val="10"/>
  </w:num>
  <w:num w:numId="22">
    <w:abstractNumId w:val="23"/>
  </w:num>
  <w:num w:numId="23">
    <w:abstractNumId w:val="19"/>
  </w:num>
  <w:num w:numId="24">
    <w:abstractNumId w:val="21"/>
  </w:num>
  <w:num w:numId="25">
    <w:abstractNumId w:val="30"/>
  </w:num>
  <w:num w:numId="26">
    <w:abstractNumId w:val="3"/>
  </w:num>
  <w:num w:numId="27">
    <w:abstractNumId w:val="31"/>
  </w:num>
  <w:num w:numId="28">
    <w:abstractNumId w:val="5"/>
  </w:num>
  <w:num w:numId="29">
    <w:abstractNumId w:val="16"/>
  </w:num>
  <w:num w:numId="30">
    <w:abstractNumId w:val="15"/>
  </w:num>
  <w:num w:numId="31">
    <w:abstractNumId w:val="2"/>
  </w:num>
  <w:num w:numId="32">
    <w:abstractNumId w:val="29"/>
  </w:num>
  <w:num w:numId="33">
    <w:abstractNumId w:val="20"/>
  </w:num>
  <w:num w:numId="34">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65"/>
    <w:rsid w:val="00003C13"/>
    <w:rsid w:val="0002178F"/>
    <w:rsid w:val="00033D66"/>
    <w:rsid w:val="00033E32"/>
    <w:rsid w:val="000418F7"/>
    <w:rsid w:val="00041EE4"/>
    <w:rsid w:val="00072B69"/>
    <w:rsid w:val="0007659D"/>
    <w:rsid w:val="000A3388"/>
    <w:rsid w:val="000E4EF7"/>
    <w:rsid w:val="000F376B"/>
    <w:rsid w:val="001748D8"/>
    <w:rsid w:val="00207F6B"/>
    <w:rsid w:val="0025305C"/>
    <w:rsid w:val="0025381B"/>
    <w:rsid w:val="002C3627"/>
    <w:rsid w:val="002D7FA2"/>
    <w:rsid w:val="00324644"/>
    <w:rsid w:val="00367632"/>
    <w:rsid w:val="003730AA"/>
    <w:rsid w:val="0038088B"/>
    <w:rsid w:val="00391839"/>
    <w:rsid w:val="003A5881"/>
    <w:rsid w:val="003D16B0"/>
    <w:rsid w:val="003D2BBC"/>
    <w:rsid w:val="003F0AE1"/>
    <w:rsid w:val="004109B4"/>
    <w:rsid w:val="0043794E"/>
    <w:rsid w:val="004811F7"/>
    <w:rsid w:val="004A526C"/>
    <w:rsid w:val="004C5E96"/>
    <w:rsid w:val="0052632F"/>
    <w:rsid w:val="00532F1B"/>
    <w:rsid w:val="005406FA"/>
    <w:rsid w:val="00542D6F"/>
    <w:rsid w:val="005F103A"/>
    <w:rsid w:val="00625669"/>
    <w:rsid w:val="00652B65"/>
    <w:rsid w:val="00680A58"/>
    <w:rsid w:val="00685F9F"/>
    <w:rsid w:val="00693599"/>
    <w:rsid w:val="00694B8E"/>
    <w:rsid w:val="00696FF6"/>
    <w:rsid w:val="006D4579"/>
    <w:rsid w:val="006D739E"/>
    <w:rsid w:val="006E44D7"/>
    <w:rsid w:val="006E6811"/>
    <w:rsid w:val="006F0316"/>
    <w:rsid w:val="00704CEE"/>
    <w:rsid w:val="00720B98"/>
    <w:rsid w:val="007419E2"/>
    <w:rsid w:val="00744057"/>
    <w:rsid w:val="0076162A"/>
    <w:rsid w:val="0077049C"/>
    <w:rsid w:val="007857C3"/>
    <w:rsid w:val="00794B2D"/>
    <w:rsid w:val="007C245B"/>
    <w:rsid w:val="00802BA5"/>
    <w:rsid w:val="00812DE8"/>
    <w:rsid w:val="00855BAD"/>
    <w:rsid w:val="0088268E"/>
    <w:rsid w:val="00951DC3"/>
    <w:rsid w:val="00957AA6"/>
    <w:rsid w:val="0097638C"/>
    <w:rsid w:val="009833DA"/>
    <w:rsid w:val="009D274B"/>
    <w:rsid w:val="009E29A5"/>
    <w:rsid w:val="00A2055F"/>
    <w:rsid w:val="00B07287"/>
    <w:rsid w:val="00B16382"/>
    <w:rsid w:val="00B415E0"/>
    <w:rsid w:val="00B54813"/>
    <w:rsid w:val="00B62E12"/>
    <w:rsid w:val="00B92A21"/>
    <w:rsid w:val="00B9733B"/>
    <w:rsid w:val="00C65488"/>
    <w:rsid w:val="00C81DEF"/>
    <w:rsid w:val="00C952D4"/>
    <w:rsid w:val="00CB0D83"/>
    <w:rsid w:val="00CB6625"/>
    <w:rsid w:val="00CE5DEB"/>
    <w:rsid w:val="00CF4755"/>
    <w:rsid w:val="00D11EA0"/>
    <w:rsid w:val="00D3344E"/>
    <w:rsid w:val="00D82F27"/>
    <w:rsid w:val="00D97BE8"/>
    <w:rsid w:val="00DC77A7"/>
    <w:rsid w:val="00DD669A"/>
    <w:rsid w:val="00DF04AC"/>
    <w:rsid w:val="00E2704F"/>
    <w:rsid w:val="00E76554"/>
    <w:rsid w:val="00E97C47"/>
    <w:rsid w:val="00EA38AA"/>
    <w:rsid w:val="00EB3BB8"/>
    <w:rsid w:val="00ED2F29"/>
    <w:rsid w:val="00EF4DE2"/>
    <w:rsid w:val="00F0639F"/>
    <w:rsid w:val="00F11718"/>
    <w:rsid w:val="00F14B72"/>
    <w:rsid w:val="00F36267"/>
    <w:rsid w:val="00F402C5"/>
    <w:rsid w:val="00F40825"/>
    <w:rsid w:val="00F42FBD"/>
    <w:rsid w:val="00F710E2"/>
    <w:rsid w:val="00F870FA"/>
    <w:rsid w:val="00FB5BD4"/>
    <w:rsid w:val="00FC3F0B"/>
    <w:rsid w:val="00FD7BA5"/>
    <w:rsid w:val="00FF16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EAD1"/>
  <w15:docId w15:val="{B638C0A3-D939-4BB6-B1B9-DA3CA49B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833DA"/>
    <w:rPr>
      <w:rFonts w:ascii="Calibri" w:hAnsi="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0D83"/>
    <w:pPr>
      <w:ind w:left="720"/>
      <w:contextualSpacing/>
    </w:pPr>
  </w:style>
  <w:style w:type="paragraph" w:styleId="Textkrper">
    <w:name w:val="Body Text"/>
    <w:basedOn w:val="Standard"/>
    <w:link w:val="TextkrperZchn"/>
    <w:semiHidden/>
    <w:rsid w:val="00652B65"/>
    <w:pPr>
      <w:spacing w:after="0" w:line="240" w:lineRule="auto"/>
      <w:jc w:val="both"/>
    </w:pPr>
    <w:rPr>
      <w:rFonts w:ascii="Times" w:eastAsia="Times" w:hAnsi="Times" w:cs="Times New Roman"/>
      <w:sz w:val="24"/>
      <w:szCs w:val="20"/>
      <w:lang w:eastAsia="de-DE"/>
    </w:rPr>
  </w:style>
  <w:style w:type="character" w:customStyle="1" w:styleId="TextkrperZchn">
    <w:name w:val="Textkörper Zchn"/>
    <w:basedOn w:val="Absatz-Standardschriftart"/>
    <w:link w:val="Textkrper"/>
    <w:semiHidden/>
    <w:rsid w:val="00652B65"/>
    <w:rPr>
      <w:rFonts w:ascii="Times" w:eastAsia="Times" w:hAnsi="Times" w:cs="Times New Roman"/>
      <w:sz w:val="24"/>
      <w:szCs w:val="20"/>
      <w:lang w:eastAsia="de-DE"/>
    </w:rPr>
  </w:style>
  <w:style w:type="paragraph" w:styleId="Funotentext">
    <w:name w:val="footnote text"/>
    <w:basedOn w:val="Standard"/>
    <w:link w:val="FunotentextZchn"/>
    <w:semiHidden/>
    <w:rsid w:val="00652B65"/>
    <w:pPr>
      <w:spacing w:after="0" w:line="240" w:lineRule="auto"/>
    </w:pPr>
    <w:rPr>
      <w:rFonts w:ascii="Arial" w:eastAsia="Times New Roman" w:hAnsi="Arial" w:cs="Times New Roman"/>
      <w:sz w:val="20"/>
      <w:szCs w:val="20"/>
      <w:lang w:val="de-CH" w:eastAsia="de-DE"/>
    </w:rPr>
  </w:style>
  <w:style w:type="character" w:customStyle="1" w:styleId="FunotentextZchn">
    <w:name w:val="Fußnotentext Zchn"/>
    <w:basedOn w:val="Absatz-Standardschriftart"/>
    <w:link w:val="Funotentext"/>
    <w:semiHidden/>
    <w:rsid w:val="00652B65"/>
    <w:rPr>
      <w:rFonts w:ascii="Arial" w:eastAsia="Times New Roman" w:hAnsi="Arial" w:cs="Times New Roman"/>
      <w:sz w:val="20"/>
      <w:szCs w:val="20"/>
      <w:lang w:val="de-CH" w:eastAsia="de-DE"/>
    </w:rPr>
  </w:style>
  <w:style w:type="character" w:styleId="Funotenzeichen">
    <w:name w:val="footnote reference"/>
    <w:basedOn w:val="Absatz-Standardschriftart"/>
    <w:semiHidden/>
    <w:rsid w:val="00652B65"/>
    <w:rPr>
      <w:vertAlign w:val="superscript"/>
    </w:rPr>
  </w:style>
  <w:style w:type="table" w:styleId="Tabellenraster">
    <w:name w:val="Table Grid"/>
    <w:basedOn w:val="NormaleTabelle"/>
    <w:uiPriority w:val="59"/>
    <w:rsid w:val="00C952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HellesRaster-Akzent11">
    <w:name w:val="Helles Raster - Akzent 11"/>
    <w:basedOn w:val="NormaleTabelle"/>
    <w:uiPriority w:val="62"/>
    <w:rsid w:val="00C952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Kopfzeile">
    <w:name w:val="header"/>
    <w:basedOn w:val="Standard"/>
    <w:link w:val="KopfzeileZchn"/>
    <w:uiPriority w:val="99"/>
    <w:unhideWhenUsed/>
    <w:rsid w:val="00FD7B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7BA5"/>
    <w:rPr>
      <w:rFonts w:ascii="Calibri" w:hAnsi="Calibri"/>
    </w:rPr>
  </w:style>
  <w:style w:type="paragraph" w:styleId="Fuzeile">
    <w:name w:val="footer"/>
    <w:basedOn w:val="Standard"/>
    <w:link w:val="FuzeileZchn"/>
    <w:uiPriority w:val="99"/>
    <w:semiHidden/>
    <w:unhideWhenUsed/>
    <w:rsid w:val="00FD7BA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D7BA5"/>
    <w:rPr>
      <w:rFonts w:ascii="Calibri" w:hAnsi="Calibri"/>
    </w:rPr>
  </w:style>
  <w:style w:type="paragraph" w:styleId="Sprechblasentext">
    <w:name w:val="Balloon Text"/>
    <w:basedOn w:val="Standard"/>
    <w:link w:val="SprechblasentextZchn"/>
    <w:uiPriority w:val="99"/>
    <w:semiHidden/>
    <w:unhideWhenUsed/>
    <w:rsid w:val="00FD7B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7BA5"/>
    <w:rPr>
      <w:rFonts w:ascii="Tahoma" w:hAnsi="Tahoma" w:cs="Tahoma"/>
      <w:sz w:val="16"/>
      <w:szCs w:val="16"/>
    </w:rPr>
  </w:style>
  <w:style w:type="paragraph" w:styleId="StandardWeb">
    <w:name w:val="Normal (Web)"/>
    <w:basedOn w:val="Standard"/>
    <w:rsid w:val="00704CEE"/>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styleId="Hyperlink">
    <w:name w:val="Hyperlink"/>
    <w:basedOn w:val="Absatz-Standardschriftart"/>
    <w:uiPriority w:val="99"/>
    <w:unhideWhenUsed/>
    <w:rsid w:val="007857C3"/>
    <w:rPr>
      <w:color w:val="0000FF" w:themeColor="hyperlink"/>
      <w:u w:val="single"/>
    </w:rPr>
  </w:style>
  <w:style w:type="paragraph" w:customStyle="1" w:styleId="Default">
    <w:name w:val="Default"/>
    <w:rsid w:val="00F0639F"/>
    <w:pPr>
      <w:autoSpaceDE w:val="0"/>
      <w:autoSpaceDN w:val="0"/>
      <w:adjustRightInd w:val="0"/>
      <w:spacing w:after="0" w:line="240" w:lineRule="auto"/>
    </w:pPr>
    <w:rPr>
      <w:rFonts w:ascii="Calibri" w:hAnsi="Calibri" w:cs="Calibri"/>
      <w:color w:val="00000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8B53E-6523-4150-AFB9-3CBB28F6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Aktuelle Volkswirtschaftslehre, Peter Eisenhut</vt:lpstr>
    </vt:vector>
  </TitlesOfParts>
  <Company>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Aktuelle Volkswirtschaftslehre, Peter Eisenhut</dc:title>
  <dc:subject/>
  <dc:creator>Peter Eisenhut</dc:creator>
  <cp:keywords/>
  <dc:description/>
  <cp:lastModifiedBy>Peter Eisenhut</cp:lastModifiedBy>
  <cp:revision>3</cp:revision>
  <dcterms:created xsi:type="dcterms:W3CDTF">2018-05-04T13:57:00Z</dcterms:created>
  <dcterms:modified xsi:type="dcterms:W3CDTF">2018-05-04T14:02:00Z</dcterms:modified>
</cp:coreProperties>
</file>