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Lösungen</w:t>
      </w: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Pr="00AF040F" w:rsidRDefault="009833DA" w:rsidP="00AF040F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  <w:sz w:val="32"/>
          <w:szCs w:val="32"/>
        </w:rPr>
      </w:pPr>
      <w:r>
        <w:rPr>
          <w:rFonts w:cs="TimesTen-Bold"/>
          <w:b/>
          <w:bCs/>
          <w:sz w:val="32"/>
          <w:szCs w:val="32"/>
        </w:rPr>
        <w:t xml:space="preserve">Repetitionsaufgaben </w:t>
      </w:r>
    </w:p>
    <w:p w:rsidR="00812DE8" w:rsidRDefault="00812DE8" w:rsidP="00812DE8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Roman"/>
        </w:rPr>
      </w:pPr>
    </w:p>
    <w:p w:rsidR="00812DE8" w:rsidRPr="00812DE8" w:rsidRDefault="00812DE8" w:rsidP="00812DE8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 w:rsidRPr="009833DA">
        <w:rPr>
          <w:rFonts w:cs="TimesTen-Bold"/>
          <w:b/>
          <w:bCs/>
        </w:rPr>
        <w:t>Kapitel 13</w:t>
      </w:r>
    </w:p>
    <w:p w:rsidR="0038088B" w:rsidRDefault="0038088B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Pr="0038088B" w:rsidRDefault="00AF040F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AF040F">
        <w:rPr>
          <w:rFonts w:cs="TimesTen-Roman"/>
          <w:b/>
        </w:rPr>
        <w:t>Gesetz der komparativen Kostenvorteile</w:t>
      </w:r>
      <w:r w:rsidR="009833DA" w:rsidRPr="00AF040F">
        <w:rPr>
          <w:rFonts w:cs="TimesTen-Roman"/>
          <w:b/>
        </w:rPr>
        <w:t>:</w:t>
      </w:r>
      <w:r w:rsidR="009833DA" w:rsidRPr="0038088B">
        <w:rPr>
          <w:rFonts w:cs="TimesTen-Roman"/>
        </w:rPr>
        <w:t xml:space="preserve"> Jeder spezialisiert sich auf die Tätigkeit, bei welcher er komparative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Kostenvorteile hat.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Auch wenn jemand in allen Tätigkeiten unterlegen ist, lohnt sich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die Arbeitsteilung, indem er eben das macht, wo sein Nachteil relativ klein ist. Dieses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Gesetz ist die Grundlage für das Freihandelspostulat.</w:t>
      </w:r>
    </w:p>
    <w:p w:rsidR="0038088B" w:rsidRPr="0038088B" w:rsidRDefault="0038088B" w:rsidP="0038088B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9833DA" w:rsidRPr="0038088B" w:rsidRDefault="00AF040F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AF040F">
        <w:rPr>
          <w:rFonts w:cs="TimesTen-Roman"/>
          <w:b/>
        </w:rPr>
        <w:t>Kritik am Freihandel:</w:t>
      </w:r>
      <w:r>
        <w:rPr>
          <w:rFonts w:cs="TimesTen-Roman"/>
        </w:rPr>
        <w:t xml:space="preserve"> </w:t>
      </w:r>
      <w:r w:rsidR="009833DA" w:rsidRPr="0038088B">
        <w:rPr>
          <w:rFonts w:cs="TimesTen-Roman"/>
        </w:rPr>
        <w:t>Umweltkosten, Abhängigkeit (Gefahr von Monokulturen), strukturelle Arbeitslosigkeit,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statischer Ansatz des Gesetzes der komparativen Kostenvorteile.</w:t>
      </w:r>
    </w:p>
    <w:p w:rsidR="0038088B" w:rsidRPr="0038088B" w:rsidRDefault="0038088B" w:rsidP="0038088B">
      <w:pPr>
        <w:pStyle w:val="Listenabsatz"/>
        <w:rPr>
          <w:rFonts w:cs="TimesTen-Bold"/>
          <w:bCs/>
        </w:rPr>
      </w:pPr>
    </w:p>
    <w:p w:rsidR="009833DA" w:rsidRPr="0038088B" w:rsidRDefault="00AF040F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AF040F">
        <w:rPr>
          <w:rFonts w:cs="TimesTen-Roman"/>
          <w:b/>
        </w:rPr>
        <w:t xml:space="preserve">Protektionistische Instrumente: </w:t>
      </w:r>
      <w:r w:rsidR="009833DA" w:rsidRPr="0038088B">
        <w:rPr>
          <w:rFonts w:cs="TimesTen-Roman"/>
        </w:rPr>
        <w:t xml:space="preserve">Zölle und Kontingente, Nicht-tarifäre </w:t>
      </w:r>
      <w:proofErr w:type="spellStart"/>
      <w:r w:rsidR="009833DA" w:rsidRPr="0038088B">
        <w:rPr>
          <w:rFonts w:cs="TimesTen-Roman"/>
        </w:rPr>
        <w:t>Massnahmen</w:t>
      </w:r>
      <w:proofErr w:type="spellEnd"/>
      <w:r w:rsidR="009833DA" w:rsidRPr="0038088B">
        <w:rPr>
          <w:rFonts w:cs="TimesTen-Roman"/>
        </w:rPr>
        <w:t xml:space="preserve"> (Normen bezüglich Sicherheit,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Umweltschutz, Technik etc.), Einfuhrabgaben, Exportsubventionen, internationale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 xml:space="preserve">Kartelle, freiwillige </w:t>
      </w:r>
      <w:proofErr w:type="spellStart"/>
      <w:r w:rsidR="009833DA" w:rsidRPr="0038088B">
        <w:rPr>
          <w:rFonts w:cs="TimesTen-Roman"/>
        </w:rPr>
        <w:t>Selbstbeschränkungsmassnahmen</w:t>
      </w:r>
      <w:proofErr w:type="spellEnd"/>
      <w:r w:rsidR="009833DA" w:rsidRPr="0038088B">
        <w:rPr>
          <w:rFonts w:cs="TimesTen-Roman"/>
        </w:rPr>
        <w:t>.</w:t>
      </w:r>
    </w:p>
    <w:p w:rsidR="0038088B" w:rsidRPr="0038088B" w:rsidRDefault="0038088B" w:rsidP="0038088B">
      <w:pPr>
        <w:pStyle w:val="Listenabsatz"/>
        <w:rPr>
          <w:rFonts w:cs="TimesTen-Bold"/>
          <w:bCs/>
        </w:rPr>
      </w:pPr>
    </w:p>
    <w:p w:rsidR="0038088B" w:rsidRDefault="00AF040F" w:rsidP="00AF040F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Bold"/>
          <w:bCs/>
        </w:rPr>
      </w:pPr>
      <w:r>
        <w:rPr>
          <w:rFonts w:cs="TimesTen-Bold"/>
          <w:bCs/>
        </w:rPr>
        <w:t xml:space="preserve">Ziele und Instrumente des </w:t>
      </w:r>
      <w:r w:rsidRPr="00AF040F">
        <w:rPr>
          <w:rFonts w:cs="TimesTen-Bold"/>
          <w:b/>
          <w:bCs/>
        </w:rPr>
        <w:t>GATT</w:t>
      </w:r>
      <w:r>
        <w:rPr>
          <w:rFonts w:cs="TimesTen-Bold"/>
          <w:b/>
          <w:bCs/>
        </w:rPr>
        <w:t>:</w:t>
      </w:r>
    </w:p>
    <w:p w:rsidR="009833DA" w:rsidRDefault="00AF040F" w:rsidP="00AF040F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Roman"/>
        </w:rPr>
      </w:pPr>
      <w:r w:rsidRPr="00AF040F">
        <w:rPr>
          <w:rFonts w:cs="TimesTen-Roman"/>
          <w:b/>
        </w:rPr>
        <w:t xml:space="preserve">Ziele: </w:t>
      </w:r>
      <w:r w:rsidR="009833DA" w:rsidRPr="009833DA">
        <w:rPr>
          <w:rFonts w:cs="TimesTen-Roman"/>
        </w:rPr>
        <w:t xml:space="preserve">Wohlstandsgewinne durch Handelsliberalisierungen, Spezialisierungs- und </w:t>
      </w:r>
      <w:proofErr w:type="spellStart"/>
      <w:r w:rsidR="009833DA" w:rsidRPr="009833DA">
        <w:rPr>
          <w:rFonts w:cs="TimesTen-Roman"/>
        </w:rPr>
        <w:t>Grösse</w:t>
      </w:r>
      <w:r w:rsidR="0038088B">
        <w:rPr>
          <w:rFonts w:cs="TimesTen-Roman"/>
        </w:rPr>
        <w:t>n</w:t>
      </w:r>
      <w:r w:rsidR="009833DA" w:rsidRPr="009833DA">
        <w:rPr>
          <w:rFonts w:cs="TimesTen-Roman"/>
        </w:rPr>
        <w:t>vorteile</w:t>
      </w:r>
      <w:proofErr w:type="spellEnd"/>
      <w:r w:rsidR="009833DA" w:rsidRPr="009833DA">
        <w:rPr>
          <w:rFonts w:cs="TimesTen-Roman"/>
        </w:rPr>
        <w:t>.</w:t>
      </w:r>
    </w:p>
    <w:p w:rsidR="009833DA" w:rsidRPr="0038088B" w:rsidRDefault="00AF040F" w:rsidP="00AF040F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Bold"/>
          <w:bCs/>
        </w:rPr>
      </w:pPr>
      <w:r>
        <w:rPr>
          <w:rFonts w:cs="TimesTen-Roman"/>
          <w:b/>
        </w:rPr>
        <w:t>Instrumente</w:t>
      </w:r>
      <w:r w:rsidRPr="00AF040F">
        <w:rPr>
          <w:rFonts w:cs="TimesTen-Roman"/>
          <w:b/>
        </w:rPr>
        <w:t>:</w:t>
      </w:r>
      <w:r>
        <w:rPr>
          <w:rFonts w:cs="TimesTen-Roman"/>
        </w:rPr>
        <w:t xml:space="preserve"> </w:t>
      </w:r>
      <w:r w:rsidR="009833DA" w:rsidRPr="0038088B">
        <w:rPr>
          <w:rFonts w:cs="TimesTen-Roman"/>
        </w:rPr>
        <w:t>Meistbegünstigungsklausel, Inländerprinzip,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 xml:space="preserve">Verbot </w:t>
      </w:r>
      <w:proofErr w:type="spellStart"/>
      <w:r w:rsidR="009833DA" w:rsidRPr="0038088B">
        <w:rPr>
          <w:rFonts w:cs="TimesTen-Roman"/>
        </w:rPr>
        <w:t xml:space="preserve">mengenmässige </w:t>
      </w:r>
      <w:proofErr w:type="spellEnd"/>
      <w:r w:rsidR="009833DA" w:rsidRPr="0038088B">
        <w:rPr>
          <w:rFonts w:cs="TimesTen-Roman"/>
        </w:rPr>
        <w:t>Handelsbeschränkungen,</w:t>
      </w:r>
      <w:r w:rsidR="0038088B">
        <w:rPr>
          <w:rFonts w:cs="TimesTen-Roman"/>
        </w:rPr>
        <w:t xml:space="preserve"> V</w:t>
      </w:r>
      <w:r w:rsidR="009833DA" w:rsidRPr="0038088B">
        <w:rPr>
          <w:rFonts w:cs="TimesTen-Roman"/>
        </w:rPr>
        <w:t>erbesserungen des Marktzutritts, Abbau der nicht-tarifären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Handelshemmnisse.</w:t>
      </w:r>
    </w:p>
    <w:p w:rsidR="0038088B" w:rsidRPr="006F06DD" w:rsidRDefault="0038088B" w:rsidP="006F06DD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6F06DD" w:rsidRPr="006F06DD" w:rsidRDefault="006F06DD" w:rsidP="006F06DD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6F06DD">
        <w:rPr>
          <w:rFonts w:cs="TimesTen-Roman"/>
          <w:b/>
        </w:rPr>
        <w:t>Stationen auf dem Weg zur EU:</w:t>
      </w:r>
      <w:r>
        <w:rPr>
          <w:rFonts w:cs="TimesTen-Roman"/>
        </w:rPr>
        <w:t xml:space="preserve"> </w:t>
      </w:r>
      <w:r w:rsidR="009833DA" w:rsidRPr="0038088B">
        <w:rPr>
          <w:rFonts w:cs="TimesTen-Roman"/>
        </w:rPr>
        <w:t>Europäische Gemeinschaft für Kohle und Stahl (1951), Europäische Wirtschaftsgemeinschaft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(EWG 1957), Europäische Gemeinschaft (EG 1967), Europa der</w:t>
      </w:r>
      <w:r w:rsidR="00D3344E">
        <w:rPr>
          <w:rFonts w:cs="TimesTen-Roman"/>
        </w:rPr>
        <w:t xml:space="preserve"> </w:t>
      </w:r>
      <w:r w:rsidR="009833DA" w:rsidRPr="0038088B">
        <w:rPr>
          <w:rFonts w:cs="TimesTen-Roman"/>
        </w:rPr>
        <w:t>zwölf (1986), Maastrichter Verträge (1992), Maastrichter Verträge treten in Kraft,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Binnenmarkt wird Wirklichkeit (EG wird zur Europäischen Union EU, 1993/1994),Europa der 15 (1995), Start zur Währungsunion (1999), Einführung EURO als</w:t>
      </w:r>
      <w:r w:rsidR="0038088B">
        <w:rPr>
          <w:rFonts w:cs="TimesTen-Roman"/>
        </w:rPr>
        <w:t xml:space="preserve"> </w:t>
      </w:r>
      <w:r w:rsidR="009833DA" w:rsidRPr="0038088B">
        <w:rPr>
          <w:rFonts w:cs="TimesTen-Roman"/>
        </w:rPr>
        <w:t>Bargeld (2002).</w:t>
      </w:r>
      <w:r w:rsidR="0038088B">
        <w:rPr>
          <w:rFonts w:cs="TimesTen-Roman"/>
        </w:rPr>
        <w:t xml:space="preserve"> Anwachsen der Mitgliederzahl bis 2009 auf 27 Länder. 2009 treten Lissaboner-Verträge in Kraft.</w:t>
      </w:r>
      <w:r>
        <w:rPr>
          <w:rFonts w:cs="TimesTen-Roman"/>
        </w:rPr>
        <w:t xml:space="preserve"> </w:t>
      </w:r>
      <w:r w:rsidRPr="006F06DD">
        <w:t xml:space="preserve">2011 Errichtung des Europäischen Stabilitätsmechanismus (ESM). 2012 Einführung des Europäische Fiskalpaktes. </w:t>
      </w:r>
      <w:r>
        <w:t>2016 tritt das Vereinigte Königreich aus der EU aus (BREXIT).</w:t>
      </w:r>
    </w:p>
    <w:p w:rsidR="0038088B" w:rsidRPr="006F06DD" w:rsidRDefault="0038088B" w:rsidP="0038088B">
      <w:pPr>
        <w:pStyle w:val="Listenabsatz"/>
        <w:rPr>
          <w:rFonts w:cs="TimesTen-Bold"/>
          <w:bCs/>
          <w:lang w:val="de-CH"/>
        </w:rPr>
      </w:pPr>
    </w:p>
    <w:p w:rsidR="009833DA" w:rsidRPr="00B07287" w:rsidRDefault="00D8744D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187B6C">
        <w:rPr>
          <w:rFonts w:cs="TimesTen-Roman"/>
          <w:b/>
        </w:rPr>
        <w:t>Vier Freiheiten des Binnenmarktprogrammes:</w:t>
      </w:r>
      <w:r>
        <w:rPr>
          <w:rFonts w:cs="TimesTen-Roman"/>
        </w:rPr>
        <w:t xml:space="preserve"> </w:t>
      </w:r>
      <w:r w:rsidR="009833DA" w:rsidRPr="00B07287">
        <w:rPr>
          <w:rFonts w:cs="TimesTen-Roman"/>
        </w:rPr>
        <w:t>Güter-, Kapital-, Dienstleistungs- und Personenverkehr.</w:t>
      </w:r>
    </w:p>
    <w:p w:rsidR="00B07287" w:rsidRPr="00B07287" w:rsidRDefault="00B07287" w:rsidP="00B07287">
      <w:pPr>
        <w:pStyle w:val="Listenabsatz"/>
        <w:rPr>
          <w:rFonts w:cs="TimesTen-Bold"/>
          <w:bCs/>
        </w:rPr>
      </w:pPr>
    </w:p>
    <w:p w:rsidR="009833DA" w:rsidRPr="00B07287" w:rsidRDefault="00187B6C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187B6C">
        <w:rPr>
          <w:rFonts w:cs="TimesTen-Roman"/>
          <w:b/>
        </w:rPr>
        <w:t xml:space="preserve">Stationen der Schweiz im Verhältnis zu Europa: </w:t>
      </w:r>
      <w:r w:rsidR="009833DA" w:rsidRPr="00B07287">
        <w:rPr>
          <w:rFonts w:cs="TimesTen-Roman"/>
        </w:rPr>
        <w:t>EFTA (1960), Freihandelsabkommen mit der EG (1973), Ablehnung des EWR</w:t>
      </w:r>
      <w:r w:rsidR="00D3344E">
        <w:rPr>
          <w:rFonts w:cs="TimesTen-Roman"/>
        </w:rPr>
        <w:t>-</w:t>
      </w:r>
      <w:r w:rsidR="009833DA" w:rsidRPr="00B07287">
        <w:rPr>
          <w:rFonts w:cs="TimesTen-Roman"/>
        </w:rPr>
        <w:t>Vertrages</w:t>
      </w:r>
      <w:r w:rsidR="00B07287">
        <w:rPr>
          <w:rFonts w:cs="TimesTen-Roman"/>
        </w:rPr>
        <w:t xml:space="preserve"> </w:t>
      </w:r>
      <w:r w:rsidR="009833DA" w:rsidRPr="00B07287">
        <w:rPr>
          <w:rFonts w:cs="TimesTen-Roman"/>
        </w:rPr>
        <w:t>(1992), Abschluss der bilateralen Verhandlungen (2000), Inkrafttreten der bilateralen Verträge (Sommer 2002)</w:t>
      </w:r>
      <w:r>
        <w:rPr>
          <w:rFonts w:cs="TimesTen-Roman"/>
        </w:rPr>
        <w:t>, Abschluss bilaterale Verträge II (neue Themen und innere Sicherheit – Schengen/Dublin)</w:t>
      </w:r>
      <w:r w:rsidR="00B07287">
        <w:rPr>
          <w:rFonts w:cs="TimesTen-Roman"/>
        </w:rPr>
        <w:t xml:space="preserve"> Erweiterung </w:t>
      </w:r>
      <w:r>
        <w:rPr>
          <w:rFonts w:cs="TimesTen-Roman"/>
        </w:rPr>
        <w:t xml:space="preserve">und Weiterführung </w:t>
      </w:r>
      <w:r w:rsidR="00B07287">
        <w:rPr>
          <w:rFonts w:cs="TimesTen-Roman"/>
        </w:rPr>
        <w:t xml:space="preserve">der Personenfreizügigkeit </w:t>
      </w:r>
      <w:r>
        <w:rPr>
          <w:rFonts w:cs="TimesTen-Roman"/>
        </w:rPr>
        <w:t xml:space="preserve">mit der EU </w:t>
      </w:r>
      <w:r w:rsidR="00B07287">
        <w:rPr>
          <w:rFonts w:cs="TimesTen-Roman"/>
        </w:rPr>
        <w:t>(2009).</w:t>
      </w:r>
      <w:r>
        <w:rPr>
          <w:rFonts w:cs="TimesTen-Roman"/>
        </w:rPr>
        <w:t xml:space="preserve"> Ja zur Masseneinwanderungsinitiative (2014), Umsetzung Masseneinwanderungsinitiative mit „Inländervorrang light“ (2018).</w:t>
      </w:r>
      <w:bookmarkStart w:id="0" w:name="_GoBack"/>
      <w:bookmarkEnd w:id="0"/>
    </w:p>
    <w:p w:rsidR="00B07287" w:rsidRPr="00B07287" w:rsidRDefault="00B07287" w:rsidP="00B07287">
      <w:pPr>
        <w:pStyle w:val="Listenabsatz"/>
        <w:rPr>
          <w:rFonts w:cs="TimesTen-Bold"/>
          <w:bCs/>
        </w:rPr>
      </w:pPr>
    </w:p>
    <w:p w:rsidR="00B07287" w:rsidRPr="00B07287" w:rsidRDefault="00B07287" w:rsidP="00B07287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DD669A" w:rsidRPr="009833DA" w:rsidRDefault="00DD669A" w:rsidP="009833DA"/>
    <w:sectPr w:rsidR="00DD669A" w:rsidRPr="009833DA" w:rsidSect="00957A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18" w:rsidRDefault="00F11718" w:rsidP="00652B65">
      <w:pPr>
        <w:spacing w:after="0" w:line="240" w:lineRule="auto"/>
      </w:pPr>
      <w:r>
        <w:separator/>
      </w:r>
    </w:p>
  </w:endnote>
  <w:endnote w:type="continuationSeparator" w:id="0">
    <w:p w:rsidR="00F11718" w:rsidRDefault="00F11718" w:rsidP="0065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18" w:rsidRDefault="00F11718" w:rsidP="00652B65">
      <w:pPr>
        <w:spacing w:after="0" w:line="240" w:lineRule="auto"/>
      </w:pPr>
      <w:r>
        <w:separator/>
      </w:r>
    </w:p>
  </w:footnote>
  <w:footnote w:type="continuationSeparator" w:id="0">
    <w:p w:rsidR="00F11718" w:rsidRDefault="00F11718" w:rsidP="0065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18" w:rsidRPr="007419E2" w:rsidRDefault="00F11718">
    <w:pPr>
      <w:pStyle w:val="Kopfzeile"/>
      <w:pBdr>
        <w:bottom w:val="single" w:sz="12" w:space="1" w:color="auto"/>
      </w:pBdr>
      <w:rPr>
        <w:sz w:val="16"/>
        <w:szCs w:val="16"/>
        <w:lang w:val="de-CH"/>
      </w:rPr>
    </w:pPr>
    <w:r>
      <w:rPr>
        <w:sz w:val="16"/>
        <w:szCs w:val="16"/>
        <w:lang w:val="de-CH"/>
      </w:rPr>
      <w:t xml:space="preserve">Lösungen zu den Repetitionsfragen, </w:t>
    </w:r>
    <w:r w:rsidRPr="00F36267">
      <w:rPr>
        <w:sz w:val="16"/>
        <w:szCs w:val="16"/>
        <w:lang w:val="de-CH"/>
      </w:rPr>
      <w:t>Aktuelle Volkswirtschaftslehre, Peter Eisenhut</w:t>
    </w:r>
    <w:r>
      <w:rPr>
        <w:lang w:val="de-CH"/>
      </w:rPr>
      <w:tab/>
    </w:r>
    <w:r w:rsidRPr="00F36267">
      <w:rPr>
        <w:noProof/>
        <w:lang w:eastAsia="de-DE"/>
      </w:rPr>
      <w:drawing>
        <wp:inline distT="0" distB="0" distL="0" distR="0">
          <wp:extent cx="300654" cy="318052"/>
          <wp:effectExtent l="19050" t="0" r="4146" b="0"/>
          <wp:docPr id="3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62" cy="32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11718" w:rsidRPr="00F36267" w:rsidRDefault="00F11718">
    <w:pPr>
      <w:pStyle w:val="Kopfzeile"/>
      <w:rPr>
        <w:lang w:val="de-CH"/>
      </w:rPr>
    </w:pP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47B"/>
    <w:multiLevelType w:val="hybridMultilevel"/>
    <w:tmpl w:val="B4FE198C"/>
    <w:lvl w:ilvl="0" w:tplc="28A491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8061A"/>
    <w:multiLevelType w:val="hybridMultilevel"/>
    <w:tmpl w:val="9F1C83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A86"/>
    <w:multiLevelType w:val="hybridMultilevel"/>
    <w:tmpl w:val="A03EE02C"/>
    <w:lvl w:ilvl="0" w:tplc="F6F0017E">
      <w:start w:val="1"/>
      <w:numFmt w:val="lowerLetter"/>
      <w:lvlText w:val="%1)"/>
      <w:lvlJc w:val="left"/>
      <w:pPr>
        <w:ind w:left="1069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9B274A"/>
    <w:multiLevelType w:val="hybridMultilevel"/>
    <w:tmpl w:val="F11412BC"/>
    <w:lvl w:ilvl="0" w:tplc="B2EC8B8C">
      <w:start w:val="1"/>
      <w:numFmt w:val="lowerLetter"/>
      <w:lvlText w:val="%1)"/>
      <w:lvlJc w:val="left"/>
      <w:pPr>
        <w:ind w:left="144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304A7"/>
    <w:multiLevelType w:val="hybridMultilevel"/>
    <w:tmpl w:val="24E6DB34"/>
    <w:lvl w:ilvl="0" w:tplc="209C4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A0DB8"/>
    <w:multiLevelType w:val="hybridMultilevel"/>
    <w:tmpl w:val="43EE6DBC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00E03"/>
    <w:multiLevelType w:val="hybridMultilevel"/>
    <w:tmpl w:val="D26645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C1E33"/>
    <w:multiLevelType w:val="hybridMultilevel"/>
    <w:tmpl w:val="7BB6647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6235B"/>
    <w:multiLevelType w:val="hybridMultilevel"/>
    <w:tmpl w:val="14C4E2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47DE"/>
    <w:multiLevelType w:val="hybridMultilevel"/>
    <w:tmpl w:val="31B68BEA"/>
    <w:lvl w:ilvl="0" w:tplc="73F60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Ten-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909B1"/>
    <w:multiLevelType w:val="hybridMultilevel"/>
    <w:tmpl w:val="4B322784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10B13"/>
    <w:multiLevelType w:val="hybridMultilevel"/>
    <w:tmpl w:val="CDA863A6"/>
    <w:lvl w:ilvl="0" w:tplc="9B987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42A03"/>
    <w:multiLevelType w:val="hybridMultilevel"/>
    <w:tmpl w:val="DE3E96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5165"/>
    <w:multiLevelType w:val="hybridMultilevel"/>
    <w:tmpl w:val="FBC8A9A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358C"/>
    <w:multiLevelType w:val="hybridMultilevel"/>
    <w:tmpl w:val="1960C54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0F68F4"/>
    <w:multiLevelType w:val="hybridMultilevel"/>
    <w:tmpl w:val="E054ABD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DE9"/>
    <w:multiLevelType w:val="hybridMultilevel"/>
    <w:tmpl w:val="C3C29A0A"/>
    <w:lvl w:ilvl="0" w:tplc="372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76E13"/>
    <w:multiLevelType w:val="hybridMultilevel"/>
    <w:tmpl w:val="43047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4A9A"/>
    <w:multiLevelType w:val="hybridMultilevel"/>
    <w:tmpl w:val="3DC64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A72E9"/>
    <w:multiLevelType w:val="hybridMultilevel"/>
    <w:tmpl w:val="68AE4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E65"/>
    <w:multiLevelType w:val="hybridMultilevel"/>
    <w:tmpl w:val="6F44096A"/>
    <w:lvl w:ilvl="0" w:tplc="9E968136">
      <w:start w:val="1"/>
      <w:numFmt w:val="lowerLetter"/>
      <w:lvlText w:val="%1)"/>
      <w:lvlJc w:val="left"/>
      <w:pPr>
        <w:ind w:left="1428" w:hanging="360"/>
      </w:pPr>
      <w:rPr>
        <w:rFonts w:cs="TimesTen-Roman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DA5073"/>
    <w:multiLevelType w:val="hybridMultilevel"/>
    <w:tmpl w:val="D2D8439E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B046B"/>
    <w:multiLevelType w:val="hybridMultilevel"/>
    <w:tmpl w:val="684249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45BAD"/>
    <w:multiLevelType w:val="hybridMultilevel"/>
    <w:tmpl w:val="A32ECB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65C05"/>
    <w:multiLevelType w:val="hybridMultilevel"/>
    <w:tmpl w:val="4532F5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C24D5"/>
    <w:multiLevelType w:val="hybridMultilevel"/>
    <w:tmpl w:val="5E30AC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86DEF"/>
    <w:multiLevelType w:val="hybridMultilevel"/>
    <w:tmpl w:val="58A62B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E5428"/>
    <w:multiLevelType w:val="hybridMultilevel"/>
    <w:tmpl w:val="1A2C487A"/>
    <w:lvl w:ilvl="0" w:tplc="209C4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D56FD"/>
    <w:multiLevelType w:val="hybridMultilevel"/>
    <w:tmpl w:val="0290C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0B6"/>
    <w:multiLevelType w:val="hybridMultilevel"/>
    <w:tmpl w:val="F1EEB852"/>
    <w:lvl w:ilvl="0" w:tplc="67ACCD56">
      <w:start w:val="1"/>
      <w:numFmt w:val="lowerLetter"/>
      <w:lvlText w:val="%1)"/>
      <w:lvlJc w:val="left"/>
      <w:pPr>
        <w:ind w:left="1068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C95737"/>
    <w:multiLevelType w:val="hybridMultilevel"/>
    <w:tmpl w:val="98A6A55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17947"/>
    <w:multiLevelType w:val="hybridMultilevel"/>
    <w:tmpl w:val="BB9A7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40CEB"/>
    <w:multiLevelType w:val="hybridMultilevel"/>
    <w:tmpl w:val="71D8C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731CB"/>
    <w:multiLevelType w:val="hybridMultilevel"/>
    <w:tmpl w:val="FBC8D874"/>
    <w:lvl w:ilvl="0" w:tplc="3E581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25"/>
  </w:num>
  <w:num w:numId="5">
    <w:abstractNumId w:val="28"/>
  </w:num>
  <w:num w:numId="6">
    <w:abstractNumId w:val="22"/>
  </w:num>
  <w:num w:numId="7">
    <w:abstractNumId w:val="4"/>
  </w:num>
  <w:num w:numId="8">
    <w:abstractNumId w:val="6"/>
  </w:num>
  <w:num w:numId="9">
    <w:abstractNumId w:val="9"/>
  </w:num>
  <w:num w:numId="10">
    <w:abstractNumId w:val="32"/>
  </w:num>
  <w:num w:numId="11">
    <w:abstractNumId w:val="27"/>
  </w:num>
  <w:num w:numId="12">
    <w:abstractNumId w:val="13"/>
  </w:num>
  <w:num w:numId="13">
    <w:abstractNumId w:val="11"/>
  </w:num>
  <w:num w:numId="14">
    <w:abstractNumId w:val="33"/>
  </w:num>
  <w:num w:numId="15">
    <w:abstractNumId w:val="14"/>
  </w:num>
  <w:num w:numId="16">
    <w:abstractNumId w:val="17"/>
  </w:num>
  <w:num w:numId="17">
    <w:abstractNumId w:val="7"/>
  </w:num>
  <w:num w:numId="18">
    <w:abstractNumId w:val="1"/>
  </w:num>
  <w:num w:numId="19">
    <w:abstractNumId w:val="8"/>
  </w:num>
  <w:num w:numId="20">
    <w:abstractNumId w:val="26"/>
  </w:num>
  <w:num w:numId="21">
    <w:abstractNumId w:val="10"/>
  </w:num>
  <w:num w:numId="22">
    <w:abstractNumId w:val="23"/>
  </w:num>
  <w:num w:numId="23">
    <w:abstractNumId w:val="19"/>
  </w:num>
  <w:num w:numId="24">
    <w:abstractNumId w:val="21"/>
  </w:num>
  <w:num w:numId="25">
    <w:abstractNumId w:val="30"/>
  </w:num>
  <w:num w:numId="26">
    <w:abstractNumId w:val="3"/>
  </w:num>
  <w:num w:numId="27">
    <w:abstractNumId w:val="31"/>
  </w:num>
  <w:num w:numId="28">
    <w:abstractNumId w:val="5"/>
  </w:num>
  <w:num w:numId="29">
    <w:abstractNumId w:val="16"/>
  </w:num>
  <w:num w:numId="30">
    <w:abstractNumId w:val="15"/>
  </w:num>
  <w:num w:numId="31">
    <w:abstractNumId w:val="2"/>
  </w:num>
  <w:num w:numId="32">
    <w:abstractNumId w:val="29"/>
  </w:num>
  <w:num w:numId="33">
    <w:abstractNumId w:val="20"/>
  </w:num>
  <w:num w:numId="34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65"/>
    <w:rsid w:val="00003C13"/>
    <w:rsid w:val="0002178F"/>
    <w:rsid w:val="00033D66"/>
    <w:rsid w:val="00033E32"/>
    <w:rsid w:val="000418F7"/>
    <w:rsid w:val="00041EE4"/>
    <w:rsid w:val="00072B69"/>
    <w:rsid w:val="0007659D"/>
    <w:rsid w:val="000A3388"/>
    <w:rsid w:val="000E4EF7"/>
    <w:rsid w:val="000F376B"/>
    <w:rsid w:val="001748D8"/>
    <w:rsid w:val="00187B6C"/>
    <w:rsid w:val="00207F6B"/>
    <w:rsid w:val="0025305C"/>
    <w:rsid w:val="0025381B"/>
    <w:rsid w:val="002C3627"/>
    <w:rsid w:val="002D7FA2"/>
    <w:rsid w:val="00324644"/>
    <w:rsid w:val="00367632"/>
    <w:rsid w:val="003730AA"/>
    <w:rsid w:val="0038088B"/>
    <w:rsid w:val="00391839"/>
    <w:rsid w:val="003A5881"/>
    <w:rsid w:val="003D16B0"/>
    <w:rsid w:val="003D2BBC"/>
    <w:rsid w:val="003F0AE1"/>
    <w:rsid w:val="004109B4"/>
    <w:rsid w:val="0043794E"/>
    <w:rsid w:val="004811F7"/>
    <w:rsid w:val="004A526C"/>
    <w:rsid w:val="004C5E96"/>
    <w:rsid w:val="0052632F"/>
    <w:rsid w:val="00532F1B"/>
    <w:rsid w:val="005406FA"/>
    <w:rsid w:val="00542D6F"/>
    <w:rsid w:val="005F103A"/>
    <w:rsid w:val="00625669"/>
    <w:rsid w:val="00652B65"/>
    <w:rsid w:val="00680A58"/>
    <w:rsid w:val="00685F9F"/>
    <w:rsid w:val="00693599"/>
    <w:rsid w:val="00694B8E"/>
    <w:rsid w:val="00696FF6"/>
    <w:rsid w:val="006D4579"/>
    <w:rsid w:val="006D739E"/>
    <w:rsid w:val="006E44D7"/>
    <w:rsid w:val="006E6811"/>
    <w:rsid w:val="006F0316"/>
    <w:rsid w:val="006F06DD"/>
    <w:rsid w:val="00704CEE"/>
    <w:rsid w:val="00720B98"/>
    <w:rsid w:val="007419E2"/>
    <w:rsid w:val="00744057"/>
    <w:rsid w:val="0076162A"/>
    <w:rsid w:val="0077049C"/>
    <w:rsid w:val="007857C3"/>
    <w:rsid w:val="00794B2D"/>
    <w:rsid w:val="007C245B"/>
    <w:rsid w:val="00802BA5"/>
    <w:rsid w:val="00812DE8"/>
    <w:rsid w:val="00855BAD"/>
    <w:rsid w:val="0088268E"/>
    <w:rsid w:val="008B76A9"/>
    <w:rsid w:val="00951DC3"/>
    <w:rsid w:val="00957AA6"/>
    <w:rsid w:val="0097638C"/>
    <w:rsid w:val="009833DA"/>
    <w:rsid w:val="009D274B"/>
    <w:rsid w:val="009E29A5"/>
    <w:rsid w:val="00A2055F"/>
    <w:rsid w:val="00AF040F"/>
    <w:rsid w:val="00B07287"/>
    <w:rsid w:val="00B16382"/>
    <w:rsid w:val="00B415E0"/>
    <w:rsid w:val="00B54813"/>
    <w:rsid w:val="00B62E12"/>
    <w:rsid w:val="00B92A21"/>
    <w:rsid w:val="00B9733B"/>
    <w:rsid w:val="00C65488"/>
    <w:rsid w:val="00C81DEF"/>
    <w:rsid w:val="00C952D4"/>
    <w:rsid w:val="00CB0D83"/>
    <w:rsid w:val="00CB6625"/>
    <w:rsid w:val="00CE5DEB"/>
    <w:rsid w:val="00CF4755"/>
    <w:rsid w:val="00D11EA0"/>
    <w:rsid w:val="00D3344E"/>
    <w:rsid w:val="00D82F27"/>
    <w:rsid w:val="00D8744D"/>
    <w:rsid w:val="00D97BE8"/>
    <w:rsid w:val="00DC77A7"/>
    <w:rsid w:val="00DD669A"/>
    <w:rsid w:val="00DF04AC"/>
    <w:rsid w:val="00E2704F"/>
    <w:rsid w:val="00E76554"/>
    <w:rsid w:val="00E97C47"/>
    <w:rsid w:val="00EA38AA"/>
    <w:rsid w:val="00EB3BB8"/>
    <w:rsid w:val="00EF4DE2"/>
    <w:rsid w:val="00F11718"/>
    <w:rsid w:val="00F14B72"/>
    <w:rsid w:val="00F36267"/>
    <w:rsid w:val="00F402C5"/>
    <w:rsid w:val="00F40825"/>
    <w:rsid w:val="00F42FBD"/>
    <w:rsid w:val="00F710E2"/>
    <w:rsid w:val="00F870FA"/>
    <w:rsid w:val="00FB5BD4"/>
    <w:rsid w:val="00FD7BA5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08E7A"/>
  <w15:docId w15:val="{B638C0A3-D939-4BB6-B1B9-DA3CA49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33DA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D83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652B65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52B65"/>
    <w:rPr>
      <w:rFonts w:ascii="Times" w:eastAsia="Times" w:hAnsi="Times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652B6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652B65"/>
    <w:rPr>
      <w:rFonts w:ascii="Arial" w:eastAsia="Times New Roman" w:hAnsi="Arial" w:cs="Times New Roman"/>
      <w:sz w:val="20"/>
      <w:szCs w:val="20"/>
      <w:lang w:val="de-CH" w:eastAsia="de-DE"/>
    </w:rPr>
  </w:style>
  <w:style w:type="character" w:styleId="Funotenzeichen">
    <w:name w:val="footnote reference"/>
    <w:basedOn w:val="Absatz-Standardschriftart"/>
    <w:semiHidden/>
    <w:rsid w:val="00652B65"/>
    <w:rPr>
      <w:vertAlign w:val="superscript"/>
    </w:rPr>
  </w:style>
  <w:style w:type="table" w:styleId="Tabellenraster">
    <w:name w:val="Table Grid"/>
    <w:basedOn w:val="NormaleTabelle"/>
    <w:uiPriority w:val="59"/>
    <w:rsid w:val="00C95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Raster-Akzent11">
    <w:name w:val="Helles Raster - Akzent 11"/>
    <w:basedOn w:val="NormaleTabelle"/>
    <w:uiPriority w:val="62"/>
    <w:rsid w:val="00C952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BA5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F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7BA5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BA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7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7857C3"/>
    <w:rPr>
      <w:color w:val="0000FF" w:themeColor="hyperlink"/>
      <w:u w:val="single"/>
    </w:rPr>
  </w:style>
  <w:style w:type="paragraph" w:customStyle="1" w:styleId="Default">
    <w:name w:val="Default"/>
    <w:rsid w:val="006F0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CE9E-BAFD-4EA0-85CB-C8FF859B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Volkswirtschaftslehre, Peter Eisenhut</vt:lpstr>
    </vt:vector>
  </TitlesOfParts>
  <Company> 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Volkswirtschaftslehre, Peter Eisenhut</dc:title>
  <dc:subject/>
  <dc:creator>Peter Eisenhut</dc:creator>
  <cp:keywords/>
  <dc:description/>
  <cp:lastModifiedBy>Peter Eisenhut</cp:lastModifiedBy>
  <cp:revision>5</cp:revision>
  <dcterms:created xsi:type="dcterms:W3CDTF">2018-05-04T13:30:00Z</dcterms:created>
  <dcterms:modified xsi:type="dcterms:W3CDTF">2018-05-04T13:42:00Z</dcterms:modified>
</cp:coreProperties>
</file>