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DA" w:rsidRDefault="009833DA" w:rsidP="009833DA">
      <w:pPr>
        <w:autoSpaceDE w:val="0"/>
        <w:autoSpaceDN w:val="0"/>
        <w:adjustRightInd w:val="0"/>
        <w:spacing w:after="0" w:line="240" w:lineRule="auto"/>
        <w:rPr>
          <w:rFonts w:cs="TimesTen-Bold"/>
          <w:b/>
          <w:bCs/>
        </w:rPr>
      </w:pPr>
      <w:r>
        <w:rPr>
          <w:rFonts w:cs="TimesTen-Bold"/>
          <w:b/>
          <w:bCs/>
        </w:rPr>
        <w:t>Lösungen</w:t>
      </w:r>
    </w:p>
    <w:p w:rsidR="009833DA" w:rsidRDefault="009833DA" w:rsidP="009833DA">
      <w:pPr>
        <w:autoSpaceDE w:val="0"/>
        <w:autoSpaceDN w:val="0"/>
        <w:adjustRightInd w:val="0"/>
        <w:spacing w:after="0" w:line="240" w:lineRule="auto"/>
        <w:rPr>
          <w:rFonts w:cs="TimesTen-Bold"/>
          <w:b/>
          <w:bCs/>
        </w:rPr>
      </w:pPr>
    </w:p>
    <w:p w:rsidR="009833DA" w:rsidRDefault="009833DA" w:rsidP="009833DA">
      <w:pPr>
        <w:autoSpaceDE w:val="0"/>
        <w:autoSpaceDN w:val="0"/>
        <w:adjustRightInd w:val="0"/>
        <w:spacing w:after="0" w:line="240" w:lineRule="auto"/>
        <w:rPr>
          <w:rFonts w:cs="TimesTen-Bold"/>
          <w:b/>
          <w:bCs/>
        </w:rPr>
      </w:pPr>
    </w:p>
    <w:p w:rsidR="009833DA" w:rsidRDefault="009833DA" w:rsidP="009833DA">
      <w:pPr>
        <w:autoSpaceDE w:val="0"/>
        <w:autoSpaceDN w:val="0"/>
        <w:adjustRightInd w:val="0"/>
        <w:spacing w:after="0" w:line="240" w:lineRule="auto"/>
        <w:rPr>
          <w:rFonts w:cs="TimesTen-Bold"/>
          <w:b/>
          <w:bCs/>
          <w:sz w:val="32"/>
          <w:szCs w:val="32"/>
        </w:rPr>
      </w:pPr>
      <w:r>
        <w:rPr>
          <w:rFonts w:cs="TimesTen-Bold"/>
          <w:b/>
          <w:bCs/>
          <w:sz w:val="32"/>
          <w:szCs w:val="32"/>
        </w:rPr>
        <w:t xml:space="preserve">Repetitionsaufgaben </w:t>
      </w:r>
    </w:p>
    <w:p w:rsidR="00553425" w:rsidRPr="009833DA" w:rsidRDefault="00553425" w:rsidP="009833DA">
      <w:pPr>
        <w:autoSpaceDE w:val="0"/>
        <w:autoSpaceDN w:val="0"/>
        <w:adjustRightInd w:val="0"/>
        <w:spacing w:after="0" w:line="240" w:lineRule="auto"/>
        <w:rPr>
          <w:rFonts w:cs="TimesTen-Bold"/>
          <w:b/>
          <w:bCs/>
        </w:rPr>
      </w:pPr>
    </w:p>
    <w:p w:rsidR="009833DA" w:rsidRDefault="0002178F" w:rsidP="009833DA">
      <w:pPr>
        <w:autoSpaceDE w:val="0"/>
        <w:autoSpaceDN w:val="0"/>
        <w:adjustRightInd w:val="0"/>
        <w:spacing w:after="0" w:line="240" w:lineRule="auto"/>
        <w:rPr>
          <w:rFonts w:cs="TimesTen-Bold"/>
          <w:b/>
          <w:bCs/>
        </w:rPr>
      </w:pPr>
      <w:r>
        <w:rPr>
          <w:rFonts w:cs="TimesTen-Bold"/>
          <w:b/>
          <w:bCs/>
        </w:rPr>
        <w:t>Kapitel 11</w:t>
      </w:r>
    </w:p>
    <w:p w:rsidR="00B9733B" w:rsidRDefault="00B9733B" w:rsidP="009833DA">
      <w:pPr>
        <w:autoSpaceDE w:val="0"/>
        <w:autoSpaceDN w:val="0"/>
        <w:adjustRightInd w:val="0"/>
        <w:spacing w:after="0" w:line="240" w:lineRule="auto"/>
        <w:rPr>
          <w:rFonts w:cs="TimesTen-Bold"/>
          <w:b/>
          <w:bCs/>
        </w:rPr>
      </w:pPr>
    </w:p>
    <w:p w:rsidR="009833DA" w:rsidRPr="0052632F" w:rsidRDefault="004710D4" w:rsidP="0097638C">
      <w:pPr>
        <w:pStyle w:val="Listenabsatz"/>
        <w:numPr>
          <w:ilvl w:val="0"/>
          <w:numId w:val="22"/>
        </w:numPr>
        <w:autoSpaceDE w:val="0"/>
        <w:autoSpaceDN w:val="0"/>
        <w:adjustRightInd w:val="0"/>
        <w:spacing w:after="0" w:line="240" w:lineRule="auto"/>
        <w:rPr>
          <w:rFonts w:cs="TimesTen-Bold"/>
          <w:bCs/>
        </w:rPr>
      </w:pPr>
      <w:r w:rsidRPr="004710D4">
        <w:rPr>
          <w:rFonts w:cs="TimesTen-Roman"/>
          <w:b/>
        </w:rPr>
        <w:t>Gründe für wachsende Staatstätigkeit:</w:t>
      </w:r>
      <w:r>
        <w:rPr>
          <w:rFonts w:cs="TimesTen-Roman"/>
        </w:rPr>
        <w:t xml:space="preserve"> </w:t>
      </w:r>
      <w:r w:rsidR="00B9733B">
        <w:rPr>
          <w:rFonts w:cs="TimesTen-Roman"/>
        </w:rPr>
        <w:t>Neue Aufgaben;</w:t>
      </w:r>
      <w:r w:rsidR="009833DA" w:rsidRPr="00B9733B">
        <w:rPr>
          <w:rFonts w:cs="TimesTen-Roman"/>
        </w:rPr>
        <w:t xml:space="preserve"> </w:t>
      </w:r>
      <w:proofErr w:type="spellStart"/>
      <w:r w:rsidR="009833DA" w:rsidRPr="00B9733B">
        <w:rPr>
          <w:rFonts w:cs="TimesTen-Roman"/>
        </w:rPr>
        <w:t>grosse</w:t>
      </w:r>
      <w:proofErr w:type="spellEnd"/>
      <w:r w:rsidR="009833DA" w:rsidRPr="00B9733B">
        <w:rPr>
          <w:rFonts w:cs="TimesTen-Roman"/>
        </w:rPr>
        <w:t xml:space="preserve"> Einkommenselastizi</w:t>
      </w:r>
      <w:r w:rsidR="00B9733B">
        <w:rPr>
          <w:rFonts w:cs="TimesTen-Roman"/>
        </w:rPr>
        <w:t xml:space="preserve">tät für öffentliche Leistungen; </w:t>
      </w:r>
      <w:r w:rsidR="009833DA" w:rsidRPr="00B9733B">
        <w:rPr>
          <w:rFonts w:cs="TimesTen-Roman"/>
        </w:rPr>
        <w:t>kleinere</w:t>
      </w:r>
      <w:r w:rsidR="00B9733B">
        <w:rPr>
          <w:rFonts w:cs="TimesTen-Roman"/>
        </w:rPr>
        <w:t xml:space="preserve"> </w:t>
      </w:r>
      <w:r w:rsidR="009833DA" w:rsidRPr="00B9733B">
        <w:rPr>
          <w:rFonts w:cs="TimesTen-Roman"/>
        </w:rPr>
        <w:t>Zunahme der Arbeitsproduktivität (überdurch</w:t>
      </w:r>
      <w:r w:rsidR="00B9733B">
        <w:rPr>
          <w:rFonts w:cs="TimesTen-Roman"/>
        </w:rPr>
        <w:t xml:space="preserve">schnittliche Kostenentwicklung); </w:t>
      </w:r>
      <w:r w:rsidR="00B9733B" w:rsidRPr="00B9733B">
        <w:rPr>
          <w:rFonts w:cs="TimesTen-Roman"/>
        </w:rPr>
        <w:t xml:space="preserve">expansives Verhalten </w:t>
      </w:r>
      <w:r w:rsidR="00B9733B">
        <w:rPr>
          <w:rFonts w:cs="TimesTen-Roman"/>
        </w:rPr>
        <w:t>der Verwaltung</w:t>
      </w:r>
      <w:r w:rsidR="00B9733B" w:rsidRPr="00B9733B">
        <w:rPr>
          <w:rFonts w:cs="TimesTen-Roman"/>
        </w:rPr>
        <w:t xml:space="preserve"> </w:t>
      </w:r>
      <w:r w:rsidR="00B9733B">
        <w:rPr>
          <w:rFonts w:cs="TimesTen-Roman"/>
        </w:rPr>
        <w:t xml:space="preserve">und </w:t>
      </w:r>
      <w:r w:rsidR="009833DA" w:rsidRPr="00B9733B">
        <w:rPr>
          <w:rFonts w:cs="TimesTen-Roman"/>
        </w:rPr>
        <w:t>Au</w:t>
      </w:r>
      <w:r w:rsidR="0052632F">
        <w:rPr>
          <w:rFonts w:cs="TimesTen-Roman"/>
        </w:rPr>
        <w:t>sgabefreudigkeit der Parlamente</w:t>
      </w:r>
      <w:r w:rsidR="009833DA" w:rsidRPr="00B9733B">
        <w:rPr>
          <w:rFonts w:cs="TimesTen-Roman"/>
        </w:rPr>
        <w:t>.</w:t>
      </w:r>
    </w:p>
    <w:p w:rsidR="0052632F" w:rsidRPr="0052632F" w:rsidRDefault="0052632F" w:rsidP="0052632F">
      <w:pPr>
        <w:pStyle w:val="Listenabsatz"/>
        <w:autoSpaceDE w:val="0"/>
        <w:autoSpaceDN w:val="0"/>
        <w:adjustRightInd w:val="0"/>
        <w:spacing w:after="0" w:line="240" w:lineRule="auto"/>
        <w:rPr>
          <w:rFonts w:cs="TimesTen-Bold"/>
          <w:bCs/>
        </w:rPr>
      </w:pPr>
    </w:p>
    <w:p w:rsidR="004710D4" w:rsidRPr="004710D4" w:rsidRDefault="004710D4" w:rsidP="004710D4">
      <w:pPr>
        <w:pStyle w:val="Listenabsatz"/>
        <w:numPr>
          <w:ilvl w:val="0"/>
          <w:numId w:val="22"/>
        </w:numPr>
        <w:autoSpaceDE w:val="0"/>
        <w:autoSpaceDN w:val="0"/>
        <w:adjustRightInd w:val="0"/>
        <w:spacing w:after="0" w:line="240" w:lineRule="auto"/>
        <w:rPr>
          <w:rFonts w:cs="TimesTen-Bold"/>
          <w:bCs/>
        </w:rPr>
      </w:pPr>
      <w:r w:rsidRPr="004710D4">
        <w:rPr>
          <w:b/>
        </w:rPr>
        <w:t>Aufgabenintensive Gebiete Bund:</w:t>
      </w:r>
      <w:r>
        <w:t xml:space="preserve"> </w:t>
      </w:r>
      <w:r w:rsidRPr="004710D4">
        <w:t xml:space="preserve">Soziale Wohlfahrt, Verkehr, Bildung und Grundlagenforschung, Landesverteidigung, Landwirtschaft und Ernährung. (Finanzen und Steuern steht zwar an zweiter Stelle, aber dabei handelt es sich um eine Umverteilung von Steuereinnahmen auf die Kantone) </w:t>
      </w:r>
    </w:p>
    <w:p w:rsidR="00041EE4" w:rsidRPr="004710D4" w:rsidRDefault="00041EE4" w:rsidP="004710D4">
      <w:pPr>
        <w:pStyle w:val="Default"/>
        <w:rPr>
          <w:sz w:val="22"/>
          <w:szCs w:val="22"/>
        </w:rPr>
      </w:pPr>
    </w:p>
    <w:p w:rsidR="004710D4" w:rsidRPr="004710D4" w:rsidRDefault="004710D4" w:rsidP="004710D4">
      <w:pPr>
        <w:pStyle w:val="Listenabsatz"/>
        <w:numPr>
          <w:ilvl w:val="0"/>
          <w:numId w:val="22"/>
        </w:numPr>
        <w:autoSpaceDE w:val="0"/>
        <w:autoSpaceDN w:val="0"/>
        <w:adjustRightInd w:val="0"/>
        <w:spacing w:after="0" w:line="240" w:lineRule="auto"/>
        <w:rPr>
          <w:rFonts w:cs="TimesTen-Bold"/>
          <w:bCs/>
        </w:rPr>
      </w:pPr>
      <w:r w:rsidRPr="004710D4">
        <w:rPr>
          <w:rFonts w:cs="TimesTen-Roman"/>
          <w:b/>
        </w:rPr>
        <w:t xml:space="preserve">Haupteinnahmequellen Bund: </w:t>
      </w:r>
      <w:r w:rsidRPr="004710D4">
        <w:t xml:space="preserve">Mehrwertsteuer, direkte Bundessteuer, Verrechnungssteuer, Mineralölsteuer, Verkehrsabgaben, Tabaksteuern. </w:t>
      </w:r>
    </w:p>
    <w:p w:rsidR="00041EE4" w:rsidRPr="004710D4" w:rsidRDefault="00041EE4" w:rsidP="00041EE4">
      <w:pPr>
        <w:pStyle w:val="Listenabsatz"/>
        <w:rPr>
          <w:rFonts w:cs="TimesTen-Bold"/>
          <w:bCs/>
          <w:lang w:val="de-CH"/>
        </w:rPr>
      </w:pPr>
    </w:p>
    <w:p w:rsidR="004710D4" w:rsidRPr="004710D4" w:rsidRDefault="004710D4" w:rsidP="004710D4">
      <w:pPr>
        <w:pStyle w:val="Listenabsatz"/>
        <w:numPr>
          <w:ilvl w:val="0"/>
          <w:numId w:val="22"/>
        </w:numPr>
        <w:autoSpaceDE w:val="0"/>
        <w:autoSpaceDN w:val="0"/>
        <w:adjustRightInd w:val="0"/>
        <w:spacing w:after="120" w:line="240" w:lineRule="auto"/>
        <w:contextualSpacing w:val="0"/>
        <w:rPr>
          <w:rFonts w:cs="TimesTen-Bold"/>
          <w:bCs/>
        </w:rPr>
      </w:pPr>
      <w:r w:rsidRPr="004710D4">
        <w:rPr>
          <w:b/>
          <w:bCs/>
        </w:rPr>
        <w:t xml:space="preserve">Entwicklung der Ausgaben: </w:t>
      </w:r>
      <w:r w:rsidRPr="004710D4">
        <w:t xml:space="preserve">Starkes Wachstum der Ausgaben für Bildung und Grundlagenforschung sowie soziale Wohlfahrt. Nur leichtes Wachstum der Ausgaben für die Landesverteidigung. Hoher Anteil (57%) der Subventionen an den Gesamtausgaben. </w:t>
      </w:r>
    </w:p>
    <w:p w:rsidR="004710D4" w:rsidRPr="004710D4" w:rsidRDefault="004710D4" w:rsidP="004710D4">
      <w:pPr>
        <w:pStyle w:val="Listenabsatz"/>
        <w:spacing w:after="240"/>
        <w:contextualSpacing w:val="0"/>
      </w:pPr>
      <w:r>
        <w:rPr>
          <w:b/>
          <w:bCs/>
        </w:rPr>
        <w:t xml:space="preserve">Haushaltssaldo und Verschuldung: </w:t>
      </w:r>
      <w:r>
        <w:t>Starker Anstieg der Defizite und der Verschuldung in den 1990er Jahren. Seit 2006 erzielt die öffentliche Hand Überschüsse. 2004 erreichten die Schulden ihren Höchststand, danach sanken sie bis 2011. In den Jahren 2012, 2013 und 2014 sind die Schulden leicht angestiegen und 2015 leicht gesunken. Im internationalen Vergleich ist die Entwicklung der Staatsfinanzen der Schweiz als sehr gut zu beurteilen.</w:t>
      </w:r>
    </w:p>
    <w:p w:rsidR="009833DA" w:rsidRPr="006D739E" w:rsidRDefault="004710D4" w:rsidP="0097638C">
      <w:pPr>
        <w:pStyle w:val="Listenabsatz"/>
        <w:numPr>
          <w:ilvl w:val="0"/>
          <w:numId w:val="22"/>
        </w:numPr>
        <w:autoSpaceDE w:val="0"/>
        <w:autoSpaceDN w:val="0"/>
        <w:adjustRightInd w:val="0"/>
        <w:spacing w:after="0" w:line="240" w:lineRule="auto"/>
        <w:rPr>
          <w:rFonts w:cs="TimesTen-Bold"/>
          <w:bCs/>
        </w:rPr>
      </w:pPr>
      <w:r w:rsidRPr="004710D4">
        <w:rPr>
          <w:rFonts w:cs="TimesTen-Roman"/>
          <w:b/>
        </w:rPr>
        <w:t>Gefahren Staatsdefizite/-verschuldung:</w:t>
      </w:r>
      <w:r>
        <w:rPr>
          <w:rFonts w:cs="TimesTen-Roman"/>
        </w:rPr>
        <w:t xml:space="preserve"> </w:t>
      </w:r>
      <w:r w:rsidR="009833DA" w:rsidRPr="006D739E">
        <w:rPr>
          <w:rFonts w:cs="TimesTen-Roman"/>
        </w:rPr>
        <w:t>Zinsanstieg, Inflationsanstieg,</w:t>
      </w:r>
      <w:r w:rsidR="006D739E">
        <w:rPr>
          <w:rFonts w:cs="TimesTen-Roman"/>
        </w:rPr>
        <w:t xml:space="preserve"> </w:t>
      </w:r>
      <w:r w:rsidR="009833DA" w:rsidRPr="006D739E">
        <w:rPr>
          <w:rFonts w:cs="TimesTen-Roman"/>
        </w:rPr>
        <w:t>Verdrängungseffekt (</w:t>
      </w:r>
      <w:proofErr w:type="spellStart"/>
      <w:r w:rsidR="009833DA" w:rsidRPr="006D739E">
        <w:rPr>
          <w:rFonts w:cs="TimesTen-Roman"/>
        </w:rPr>
        <w:t>crowding</w:t>
      </w:r>
      <w:proofErr w:type="spellEnd"/>
      <w:r w:rsidR="009833DA" w:rsidRPr="006D739E">
        <w:rPr>
          <w:rFonts w:cs="TimesTen-Roman"/>
        </w:rPr>
        <w:t>-out), Schmälerung des</w:t>
      </w:r>
      <w:r w:rsidR="006D739E">
        <w:rPr>
          <w:rFonts w:cs="TimesTen-Roman"/>
        </w:rPr>
        <w:t xml:space="preserve"> </w:t>
      </w:r>
      <w:r w:rsidR="009833DA" w:rsidRPr="006D739E">
        <w:rPr>
          <w:rFonts w:cs="TimesTen-Roman"/>
        </w:rPr>
        <w:t>Handlungsspielraumes,</w:t>
      </w:r>
      <w:r w:rsidR="006D739E">
        <w:rPr>
          <w:rFonts w:cs="TimesTen-Roman"/>
        </w:rPr>
        <w:t xml:space="preserve"> </w:t>
      </w:r>
      <w:r w:rsidR="009833DA" w:rsidRPr="006D739E">
        <w:rPr>
          <w:rFonts w:cs="TimesTen-Roman"/>
        </w:rPr>
        <w:t>Teufelskreis der Verschuldung.</w:t>
      </w:r>
    </w:p>
    <w:p w:rsidR="006D739E" w:rsidRPr="006D739E" w:rsidRDefault="006D739E" w:rsidP="006D739E">
      <w:pPr>
        <w:pStyle w:val="Listenabsatz"/>
        <w:rPr>
          <w:rFonts w:cs="TimesTen-Bold"/>
          <w:bCs/>
        </w:rPr>
      </w:pPr>
    </w:p>
    <w:p w:rsidR="004710D4" w:rsidRPr="004710D4" w:rsidRDefault="004710D4" w:rsidP="0097638C">
      <w:pPr>
        <w:pStyle w:val="Listenabsatz"/>
        <w:numPr>
          <w:ilvl w:val="0"/>
          <w:numId w:val="22"/>
        </w:numPr>
        <w:autoSpaceDE w:val="0"/>
        <w:autoSpaceDN w:val="0"/>
        <w:adjustRightInd w:val="0"/>
        <w:spacing w:after="0" w:line="240" w:lineRule="auto"/>
        <w:rPr>
          <w:rFonts w:cs="TimesTen-Bold"/>
          <w:b/>
          <w:bCs/>
        </w:rPr>
      </w:pPr>
      <w:r w:rsidRPr="004710D4">
        <w:rPr>
          <w:rFonts w:cs="TimesTen-Roman"/>
          <w:b/>
        </w:rPr>
        <w:t xml:space="preserve">Richtlinien Staatsverschuldung: </w:t>
      </w:r>
    </w:p>
    <w:p w:rsidR="004710D4" w:rsidRPr="004710D4" w:rsidRDefault="009833DA" w:rsidP="004710D4">
      <w:pPr>
        <w:pStyle w:val="Listenabsatz"/>
        <w:numPr>
          <w:ilvl w:val="0"/>
          <w:numId w:val="35"/>
        </w:numPr>
        <w:autoSpaceDE w:val="0"/>
        <w:autoSpaceDN w:val="0"/>
        <w:adjustRightInd w:val="0"/>
        <w:spacing w:after="0" w:line="240" w:lineRule="auto"/>
        <w:rPr>
          <w:rFonts w:cs="TimesTen-Bold"/>
          <w:bCs/>
        </w:rPr>
      </w:pPr>
      <w:r w:rsidRPr="004710D4">
        <w:rPr>
          <w:rFonts w:cs="TimesTen-Roman"/>
        </w:rPr>
        <w:t>Goldene Finanzierungsregel: Budgetdefizite dürfen die Höhe der Staatsinvestitionen</w:t>
      </w:r>
      <w:r w:rsidR="00812DE8" w:rsidRPr="004710D4">
        <w:rPr>
          <w:rFonts w:cs="TimesTen-Roman"/>
        </w:rPr>
        <w:t xml:space="preserve"> </w:t>
      </w:r>
      <w:r w:rsidRPr="004710D4">
        <w:rPr>
          <w:rFonts w:cs="TimesTen-Roman"/>
        </w:rPr>
        <w:t>nicht übersteigen</w:t>
      </w:r>
      <w:r w:rsidR="00812DE8" w:rsidRPr="004710D4">
        <w:rPr>
          <w:rFonts w:cs="TimesTen-Roman"/>
        </w:rPr>
        <w:t xml:space="preserve">. </w:t>
      </w:r>
    </w:p>
    <w:p w:rsidR="004710D4" w:rsidRPr="004710D4" w:rsidRDefault="009833DA" w:rsidP="004710D4">
      <w:pPr>
        <w:pStyle w:val="Listenabsatz"/>
        <w:numPr>
          <w:ilvl w:val="0"/>
          <w:numId w:val="35"/>
        </w:numPr>
        <w:autoSpaceDE w:val="0"/>
        <w:autoSpaceDN w:val="0"/>
        <w:adjustRightInd w:val="0"/>
        <w:spacing w:after="0" w:line="240" w:lineRule="auto"/>
        <w:rPr>
          <w:rFonts w:cs="TimesTen-Bold"/>
          <w:bCs/>
        </w:rPr>
      </w:pPr>
      <w:r w:rsidRPr="004710D4">
        <w:rPr>
          <w:rFonts w:cs="TimesTen-Roman"/>
        </w:rPr>
        <w:t>Langfristig konstante Schuldenquote (ausgeglichener Primärhaushalt)</w:t>
      </w:r>
      <w:r w:rsidR="00812DE8" w:rsidRPr="004710D4">
        <w:rPr>
          <w:rFonts w:cs="TimesTen-Roman"/>
        </w:rPr>
        <w:t xml:space="preserve">. </w:t>
      </w:r>
    </w:p>
    <w:p w:rsidR="009833DA" w:rsidRPr="004710D4" w:rsidRDefault="009833DA" w:rsidP="004710D4">
      <w:pPr>
        <w:pStyle w:val="Listenabsatz"/>
        <w:numPr>
          <w:ilvl w:val="0"/>
          <w:numId w:val="35"/>
        </w:numPr>
        <w:autoSpaceDE w:val="0"/>
        <w:autoSpaceDN w:val="0"/>
        <w:adjustRightInd w:val="0"/>
        <w:spacing w:after="0" w:line="240" w:lineRule="auto"/>
        <w:rPr>
          <w:rFonts w:cs="TimesTen-Bold"/>
          <w:bCs/>
        </w:rPr>
      </w:pPr>
      <w:r w:rsidRPr="004710D4">
        <w:rPr>
          <w:rFonts w:cs="TimesTen-Roman"/>
        </w:rPr>
        <w:t>Ausgaben sollen im Gleichschritt mit dem Wirtschaftswachstum zunehmen.</w:t>
      </w:r>
    </w:p>
    <w:p w:rsidR="00812DE8" w:rsidRPr="00812DE8" w:rsidRDefault="00812DE8" w:rsidP="00812DE8">
      <w:pPr>
        <w:pStyle w:val="Listenabsatz"/>
        <w:rPr>
          <w:rFonts w:cs="TimesTen-Bold"/>
          <w:bCs/>
        </w:rPr>
      </w:pPr>
    </w:p>
    <w:p w:rsidR="00812DE8" w:rsidRPr="00812DE8" w:rsidRDefault="00812DE8" w:rsidP="00812DE8">
      <w:pPr>
        <w:pStyle w:val="Listenabsatz"/>
        <w:autoSpaceDE w:val="0"/>
        <w:autoSpaceDN w:val="0"/>
        <w:adjustRightInd w:val="0"/>
        <w:spacing w:after="0" w:line="240" w:lineRule="auto"/>
        <w:rPr>
          <w:rFonts w:cs="TimesTen-Bold"/>
          <w:bCs/>
        </w:rPr>
      </w:pPr>
    </w:p>
    <w:p w:rsidR="00DD669A" w:rsidRPr="009833DA" w:rsidRDefault="00DD669A" w:rsidP="009833DA">
      <w:bookmarkStart w:id="0" w:name="_GoBack"/>
      <w:bookmarkEnd w:id="0"/>
    </w:p>
    <w:sectPr w:rsidR="00DD669A" w:rsidRPr="009833DA" w:rsidSect="00957AA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718" w:rsidRDefault="00F11718" w:rsidP="00652B65">
      <w:pPr>
        <w:spacing w:after="0" w:line="240" w:lineRule="auto"/>
      </w:pPr>
      <w:r>
        <w:separator/>
      </w:r>
    </w:p>
  </w:endnote>
  <w:endnote w:type="continuationSeparator" w:id="0">
    <w:p w:rsidR="00F11718" w:rsidRDefault="00F11718" w:rsidP="0065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Ten-Bold">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718" w:rsidRDefault="00F11718" w:rsidP="00652B65">
      <w:pPr>
        <w:spacing w:after="0" w:line="240" w:lineRule="auto"/>
      </w:pPr>
      <w:r>
        <w:separator/>
      </w:r>
    </w:p>
  </w:footnote>
  <w:footnote w:type="continuationSeparator" w:id="0">
    <w:p w:rsidR="00F11718" w:rsidRDefault="00F11718" w:rsidP="0065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18" w:rsidRPr="007419E2" w:rsidRDefault="00F11718">
    <w:pPr>
      <w:pStyle w:val="Kopfzeile"/>
      <w:pBdr>
        <w:bottom w:val="single" w:sz="12" w:space="1" w:color="auto"/>
      </w:pBdr>
      <w:rPr>
        <w:sz w:val="16"/>
        <w:szCs w:val="16"/>
        <w:lang w:val="de-CH"/>
      </w:rPr>
    </w:pPr>
    <w:r>
      <w:rPr>
        <w:sz w:val="16"/>
        <w:szCs w:val="16"/>
        <w:lang w:val="de-CH"/>
      </w:rPr>
      <w:t xml:space="preserve">Lösungen zu den Repetitionsfragen, </w:t>
    </w:r>
    <w:r w:rsidRPr="00F36267">
      <w:rPr>
        <w:sz w:val="16"/>
        <w:szCs w:val="16"/>
        <w:lang w:val="de-CH"/>
      </w:rPr>
      <w:t>Aktuelle Volkswirtschaftslehre, Peter Eisenhut</w:t>
    </w:r>
    <w:r>
      <w:rPr>
        <w:lang w:val="de-CH"/>
      </w:rPr>
      <w:tab/>
    </w:r>
    <w:r w:rsidRPr="00F36267">
      <w:rPr>
        <w:noProof/>
        <w:lang w:eastAsia="de-DE"/>
      </w:rPr>
      <w:drawing>
        <wp:inline distT="0" distB="0" distL="0" distR="0">
          <wp:extent cx="300654" cy="318052"/>
          <wp:effectExtent l="19050" t="0" r="4146" b="0"/>
          <wp:docPr id="3" name="Bild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cstate="print"/>
                  <a:srcRect/>
                  <a:stretch>
                    <a:fillRect/>
                  </a:stretch>
                </pic:blipFill>
                <pic:spPr bwMode="auto">
                  <a:xfrm>
                    <a:off x="0" y="0"/>
                    <a:ext cx="303962" cy="321552"/>
                  </a:xfrm>
                  <a:prstGeom prst="rect">
                    <a:avLst/>
                  </a:prstGeom>
                  <a:noFill/>
                  <a:ln w="9525">
                    <a:noFill/>
                    <a:miter lim="800000"/>
                    <a:headEnd/>
                    <a:tailEnd/>
                  </a:ln>
                  <a:effectLst/>
                </pic:spPr>
              </pic:pic>
            </a:graphicData>
          </a:graphic>
        </wp:inline>
      </w:drawing>
    </w:r>
  </w:p>
  <w:p w:rsidR="00F11718" w:rsidRPr="00F36267" w:rsidRDefault="00F11718">
    <w:pPr>
      <w:pStyle w:val="Kopfzeile"/>
      <w:rPr>
        <w:lang w:val="de-CH"/>
      </w:rPr>
    </w:pP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r>
      <w:rPr>
        <w:lang w:val="de-CH"/>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47B"/>
    <w:multiLevelType w:val="hybridMultilevel"/>
    <w:tmpl w:val="B4FE198C"/>
    <w:lvl w:ilvl="0" w:tplc="28A4910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748061A"/>
    <w:multiLevelType w:val="hybridMultilevel"/>
    <w:tmpl w:val="9F1C83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A6A86"/>
    <w:multiLevelType w:val="hybridMultilevel"/>
    <w:tmpl w:val="A03EE02C"/>
    <w:lvl w:ilvl="0" w:tplc="F6F0017E">
      <w:start w:val="1"/>
      <w:numFmt w:val="lowerLetter"/>
      <w:lvlText w:val="%1)"/>
      <w:lvlJc w:val="left"/>
      <w:pPr>
        <w:ind w:left="1069" w:hanging="360"/>
      </w:pPr>
      <w:rPr>
        <w:rFonts w:cs="TimesTen-Bold"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099B274A"/>
    <w:multiLevelType w:val="hybridMultilevel"/>
    <w:tmpl w:val="F11412BC"/>
    <w:lvl w:ilvl="0" w:tplc="B2EC8B8C">
      <w:start w:val="1"/>
      <w:numFmt w:val="lowerLetter"/>
      <w:lvlText w:val="%1)"/>
      <w:lvlJc w:val="left"/>
      <w:pPr>
        <w:ind w:left="1440" w:hanging="360"/>
      </w:pPr>
      <w:rPr>
        <w:rFonts w:cs="TimesTen-Bold"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AC304A7"/>
    <w:multiLevelType w:val="hybridMultilevel"/>
    <w:tmpl w:val="24E6DB34"/>
    <w:lvl w:ilvl="0" w:tplc="209C42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BBA0DB8"/>
    <w:multiLevelType w:val="hybridMultilevel"/>
    <w:tmpl w:val="43EE6DBC"/>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2200E03"/>
    <w:multiLevelType w:val="hybridMultilevel"/>
    <w:tmpl w:val="D26645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9C1E33"/>
    <w:multiLevelType w:val="hybridMultilevel"/>
    <w:tmpl w:val="7BB6647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6F6235B"/>
    <w:multiLevelType w:val="hybridMultilevel"/>
    <w:tmpl w:val="14C4E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F547DE"/>
    <w:multiLevelType w:val="hybridMultilevel"/>
    <w:tmpl w:val="31B68BEA"/>
    <w:lvl w:ilvl="0" w:tplc="73F60B2E">
      <w:start w:val="1"/>
      <w:numFmt w:val="bullet"/>
      <w:lvlText w:val="-"/>
      <w:lvlJc w:val="left"/>
      <w:pPr>
        <w:ind w:left="1080" w:hanging="360"/>
      </w:pPr>
      <w:rPr>
        <w:rFonts w:ascii="Calibri" w:eastAsiaTheme="minorHAnsi" w:hAnsi="Calibri" w:cs="TimesTen-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82909B1"/>
    <w:multiLevelType w:val="hybridMultilevel"/>
    <w:tmpl w:val="4B322784"/>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A710B13"/>
    <w:multiLevelType w:val="hybridMultilevel"/>
    <w:tmpl w:val="CDA863A6"/>
    <w:lvl w:ilvl="0" w:tplc="9B987FF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21742A03"/>
    <w:multiLevelType w:val="hybridMultilevel"/>
    <w:tmpl w:val="DE3E9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D75165"/>
    <w:multiLevelType w:val="hybridMultilevel"/>
    <w:tmpl w:val="FBC8A9A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B0358C"/>
    <w:multiLevelType w:val="hybridMultilevel"/>
    <w:tmpl w:val="1960C54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90F68F4"/>
    <w:multiLevelType w:val="hybridMultilevel"/>
    <w:tmpl w:val="E054ABD2"/>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C63DE9"/>
    <w:multiLevelType w:val="hybridMultilevel"/>
    <w:tmpl w:val="C3C29A0A"/>
    <w:lvl w:ilvl="0" w:tplc="372048C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33D76E13"/>
    <w:multiLevelType w:val="hybridMultilevel"/>
    <w:tmpl w:val="43047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804A9A"/>
    <w:multiLevelType w:val="hybridMultilevel"/>
    <w:tmpl w:val="3DC64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0A72E9"/>
    <w:multiLevelType w:val="hybridMultilevel"/>
    <w:tmpl w:val="68AE43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B93E65"/>
    <w:multiLevelType w:val="hybridMultilevel"/>
    <w:tmpl w:val="6F44096A"/>
    <w:lvl w:ilvl="0" w:tplc="9E968136">
      <w:start w:val="1"/>
      <w:numFmt w:val="lowerLetter"/>
      <w:lvlText w:val="%1)"/>
      <w:lvlJc w:val="left"/>
      <w:pPr>
        <w:ind w:left="1428" w:hanging="360"/>
      </w:pPr>
      <w:rPr>
        <w:rFonts w:cs="TimesTen-Roman"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1" w15:restartNumberingAfterBreak="0">
    <w:nsid w:val="46DA5073"/>
    <w:multiLevelType w:val="hybridMultilevel"/>
    <w:tmpl w:val="D2D8439E"/>
    <w:lvl w:ilvl="0" w:tplc="D17CF948">
      <w:start w:val="1"/>
      <w:numFmt w:val="lowerLetter"/>
      <w:lvlText w:val="%1)"/>
      <w:lvlJc w:val="left"/>
      <w:pPr>
        <w:ind w:left="1080" w:hanging="360"/>
      </w:pPr>
      <w:rPr>
        <w:rFonts w:cs="TimesTen-Bold"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85B046B"/>
    <w:multiLevelType w:val="hybridMultilevel"/>
    <w:tmpl w:val="684249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C45BAD"/>
    <w:multiLevelType w:val="hybridMultilevel"/>
    <w:tmpl w:val="A32ECB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E65C05"/>
    <w:multiLevelType w:val="hybridMultilevel"/>
    <w:tmpl w:val="4532F5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BC24D5"/>
    <w:multiLevelType w:val="hybridMultilevel"/>
    <w:tmpl w:val="5E30AC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686DEF"/>
    <w:multiLevelType w:val="hybridMultilevel"/>
    <w:tmpl w:val="58A62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5E5428"/>
    <w:multiLevelType w:val="hybridMultilevel"/>
    <w:tmpl w:val="1A2C487A"/>
    <w:lvl w:ilvl="0" w:tplc="209C42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B9D56FD"/>
    <w:multiLevelType w:val="hybridMultilevel"/>
    <w:tmpl w:val="0290C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8820B6"/>
    <w:multiLevelType w:val="hybridMultilevel"/>
    <w:tmpl w:val="F1EEB852"/>
    <w:lvl w:ilvl="0" w:tplc="67ACCD56">
      <w:start w:val="1"/>
      <w:numFmt w:val="lowerLetter"/>
      <w:lvlText w:val="%1)"/>
      <w:lvlJc w:val="left"/>
      <w:pPr>
        <w:ind w:left="1068" w:hanging="360"/>
      </w:pPr>
      <w:rPr>
        <w:rFonts w:cs="TimesTen-Bold"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60C95737"/>
    <w:multiLevelType w:val="hybridMultilevel"/>
    <w:tmpl w:val="98A6A552"/>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617947"/>
    <w:multiLevelType w:val="hybridMultilevel"/>
    <w:tmpl w:val="BB9A7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A73098"/>
    <w:multiLevelType w:val="hybridMultilevel"/>
    <w:tmpl w:val="DB32BF02"/>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3" w15:restartNumberingAfterBreak="0">
    <w:nsid w:val="77140CEB"/>
    <w:multiLevelType w:val="hybridMultilevel"/>
    <w:tmpl w:val="71D8CD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D731CB"/>
    <w:multiLevelType w:val="hybridMultilevel"/>
    <w:tmpl w:val="FBC8D874"/>
    <w:lvl w:ilvl="0" w:tplc="3E581B2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8"/>
  </w:num>
  <w:num w:numId="2">
    <w:abstractNumId w:val="24"/>
  </w:num>
  <w:num w:numId="3">
    <w:abstractNumId w:val="12"/>
  </w:num>
  <w:num w:numId="4">
    <w:abstractNumId w:val="25"/>
  </w:num>
  <w:num w:numId="5">
    <w:abstractNumId w:val="28"/>
  </w:num>
  <w:num w:numId="6">
    <w:abstractNumId w:val="22"/>
  </w:num>
  <w:num w:numId="7">
    <w:abstractNumId w:val="4"/>
  </w:num>
  <w:num w:numId="8">
    <w:abstractNumId w:val="6"/>
  </w:num>
  <w:num w:numId="9">
    <w:abstractNumId w:val="9"/>
  </w:num>
  <w:num w:numId="10">
    <w:abstractNumId w:val="33"/>
  </w:num>
  <w:num w:numId="11">
    <w:abstractNumId w:val="27"/>
  </w:num>
  <w:num w:numId="12">
    <w:abstractNumId w:val="13"/>
  </w:num>
  <w:num w:numId="13">
    <w:abstractNumId w:val="11"/>
  </w:num>
  <w:num w:numId="14">
    <w:abstractNumId w:val="34"/>
  </w:num>
  <w:num w:numId="15">
    <w:abstractNumId w:val="14"/>
  </w:num>
  <w:num w:numId="16">
    <w:abstractNumId w:val="17"/>
  </w:num>
  <w:num w:numId="17">
    <w:abstractNumId w:val="7"/>
  </w:num>
  <w:num w:numId="18">
    <w:abstractNumId w:val="1"/>
  </w:num>
  <w:num w:numId="19">
    <w:abstractNumId w:val="8"/>
  </w:num>
  <w:num w:numId="20">
    <w:abstractNumId w:val="26"/>
  </w:num>
  <w:num w:numId="21">
    <w:abstractNumId w:val="10"/>
  </w:num>
  <w:num w:numId="22">
    <w:abstractNumId w:val="23"/>
  </w:num>
  <w:num w:numId="23">
    <w:abstractNumId w:val="19"/>
  </w:num>
  <w:num w:numId="24">
    <w:abstractNumId w:val="21"/>
  </w:num>
  <w:num w:numId="25">
    <w:abstractNumId w:val="30"/>
  </w:num>
  <w:num w:numId="26">
    <w:abstractNumId w:val="3"/>
  </w:num>
  <w:num w:numId="27">
    <w:abstractNumId w:val="31"/>
  </w:num>
  <w:num w:numId="28">
    <w:abstractNumId w:val="5"/>
  </w:num>
  <w:num w:numId="29">
    <w:abstractNumId w:val="16"/>
  </w:num>
  <w:num w:numId="30">
    <w:abstractNumId w:val="15"/>
  </w:num>
  <w:num w:numId="31">
    <w:abstractNumId w:val="2"/>
  </w:num>
  <w:num w:numId="32">
    <w:abstractNumId w:val="29"/>
  </w:num>
  <w:num w:numId="33">
    <w:abstractNumId w:val="20"/>
  </w:num>
  <w:num w:numId="34">
    <w:abstractNumId w:val="0"/>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5"/>
    <w:rsid w:val="00003C13"/>
    <w:rsid w:val="0002178F"/>
    <w:rsid w:val="00033D66"/>
    <w:rsid w:val="00033E32"/>
    <w:rsid w:val="000418F7"/>
    <w:rsid w:val="00041EE4"/>
    <w:rsid w:val="00072B69"/>
    <w:rsid w:val="0007659D"/>
    <w:rsid w:val="000A3388"/>
    <w:rsid w:val="000E4EF7"/>
    <w:rsid w:val="000F376B"/>
    <w:rsid w:val="001748D8"/>
    <w:rsid w:val="00207F6B"/>
    <w:rsid w:val="0025305C"/>
    <w:rsid w:val="0025381B"/>
    <w:rsid w:val="002C3627"/>
    <w:rsid w:val="002D7FA2"/>
    <w:rsid w:val="00324644"/>
    <w:rsid w:val="00367632"/>
    <w:rsid w:val="003730AA"/>
    <w:rsid w:val="0038088B"/>
    <w:rsid w:val="00391839"/>
    <w:rsid w:val="003A5881"/>
    <w:rsid w:val="003D16B0"/>
    <w:rsid w:val="003D2BBC"/>
    <w:rsid w:val="003F0AE1"/>
    <w:rsid w:val="004109B4"/>
    <w:rsid w:val="0043794E"/>
    <w:rsid w:val="004710D4"/>
    <w:rsid w:val="004811F7"/>
    <w:rsid w:val="004A526C"/>
    <w:rsid w:val="004C5E96"/>
    <w:rsid w:val="0052632F"/>
    <w:rsid w:val="00532F1B"/>
    <w:rsid w:val="005406FA"/>
    <w:rsid w:val="00542D6F"/>
    <w:rsid w:val="00553425"/>
    <w:rsid w:val="005F103A"/>
    <w:rsid w:val="00625669"/>
    <w:rsid w:val="00652B65"/>
    <w:rsid w:val="00680A58"/>
    <w:rsid w:val="00685F9F"/>
    <w:rsid w:val="00693599"/>
    <w:rsid w:val="00694B8E"/>
    <w:rsid w:val="00696FF6"/>
    <w:rsid w:val="006D4579"/>
    <w:rsid w:val="006D739E"/>
    <w:rsid w:val="006E44D7"/>
    <w:rsid w:val="006E6811"/>
    <w:rsid w:val="006F0316"/>
    <w:rsid w:val="00704CEE"/>
    <w:rsid w:val="00720B98"/>
    <w:rsid w:val="007419E2"/>
    <w:rsid w:val="00744057"/>
    <w:rsid w:val="0076162A"/>
    <w:rsid w:val="0077049C"/>
    <w:rsid w:val="007857C3"/>
    <w:rsid w:val="00794B2D"/>
    <w:rsid w:val="007C245B"/>
    <w:rsid w:val="00802BA5"/>
    <w:rsid w:val="00812DE8"/>
    <w:rsid w:val="00855BAD"/>
    <w:rsid w:val="0088268E"/>
    <w:rsid w:val="00951DC3"/>
    <w:rsid w:val="00957AA6"/>
    <w:rsid w:val="0097638C"/>
    <w:rsid w:val="009833DA"/>
    <w:rsid w:val="009D274B"/>
    <w:rsid w:val="009E29A5"/>
    <w:rsid w:val="00A2055F"/>
    <w:rsid w:val="00B07287"/>
    <w:rsid w:val="00B16382"/>
    <w:rsid w:val="00B415E0"/>
    <w:rsid w:val="00B54813"/>
    <w:rsid w:val="00B62E12"/>
    <w:rsid w:val="00B92A21"/>
    <w:rsid w:val="00B9733B"/>
    <w:rsid w:val="00C65488"/>
    <w:rsid w:val="00C81DEF"/>
    <w:rsid w:val="00C952D4"/>
    <w:rsid w:val="00CB0D83"/>
    <w:rsid w:val="00CB6625"/>
    <w:rsid w:val="00CE5DEB"/>
    <w:rsid w:val="00CF4755"/>
    <w:rsid w:val="00D11EA0"/>
    <w:rsid w:val="00D3344E"/>
    <w:rsid w:val="00D82F27"/>
    <w:rsid w:val="00D97BE8"/>
    <w:rsid w:val="00DC77A7"/>
    <w:rsid w:val="00DD669A"/>
    <w:rsid w:val="00DF04AC"/>
    <w:rsid w:val="00E2704F"/>
    <w:rsid w:val="00E76554"/>
    <w:rsid w:val="00E97C47"/>
    <w:rsid w:val="00EA38AA"/>
    <w:rsid w:val="00EB3BB8"/>
    <w:rsid w:val="00EF4DE2"/>
    <w:rsid w:val="00F11718"/>
    <w:rsid w:val="00F14B72"/>
    <w:rsid w:val="00F36267"/>
    <w:rsid w:val="00F402C5"/>
    <w:rsid w:val="00F40825"/>
    <w:rsid w:val="00F42FBD"/>
    <w:rsid w:val="00F710E2"/>
    <w:rsid w:val="00F870FA"/>
    <w:rsid w:val="00FB5BD4"/>
    <w:rsid w:val="00FD7BA5"/>
    <w:rsid w:val="00FF1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C20B"/>
  <w15:docId w15:val="{B638C0A3-D939-4BB6-B1B9-DA3CA49B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33DA"/>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0D83"/>
    <w:pPr>
      <w:ind w:left="720"/>
      <w:contextualSpacing/>
    </w:pPr>
  </w:style>
  <w:style w:type="paragraph" w:styleId="Textkrper">
    <w:name w:val="Body Text"/>
    <w:basedOn w:val="Standard"/>
    <w:link w:val="TextkrperZchn"/>
    <w:semiHidden/>
    <w:rsid w:val="00652B65"/>
    <w:pPr>
      <w:spacing w:after="0" w:line="240" w:lineRule="auto"/>
      <w:jc w:val="both"/>
    </w:pPr>
    <w:rPr>
      <w:rFonts w:ascii="Times" w:eastAsia="Times" w:hAnsi="Times" w:cs="Times New Roman"/>
      <w:sz w:val="24"/>
      <w:szCs w:val="20"/>
      <w:lang w:eastAsia="de-DE"/>
    </w:rPr>
  </w:style>
  <w:style w:type="character" w:customStyle="1" w:styleId="TextkrperZchn">
    <w:name w:val="Textkörper Zchn"/>
    <w:basedOn w:val="Absatz-Standardschriftart"/>
    <w:link w:val="Textkrper"/>
    <w:semiHidden/>
    <w:rsid w:val="00652B65"/>
    <w:rPr>
      <w:rFonts w:ascii="Times" w:eastAsia="Times" w:hAnsi="Times" w:cs="Times New Roman"/>
      <w:sz w:val="24"/>
      <w:szCs w:val="20"/>
      <w:lang w:eastAsia="de-DE"/>
    </w:rPr>
  </w:style>
  <w:style w:type="paragraph" w:styleId="Funotentext">
    <w:name w:val="footnote text"/>
    <w:basedOn w:val="Standard"/>
    <w:link w:val="FunotentextZchn"/>
    <w:semiHidden/>
    <w:rsid w:val="00652B65"/>
    <w:pPr>
      <w:spacing w:after="0" w:line="240" w:lineRule="auto"/>
    </w:pPr>
    <w:rPr>
      <w:rFonts w:ascii="Arial" w:eastAsia="Times New Roman" w:hAnsi="Arial" w:cs="Times New Roman"/>
      <w:sz w:val="20"/>
      <w:szCs w:val="20"/>
      <w:lang w:val="de-CH" w:eastAsia="de-DE"/>
    </w:rPr>
  </w:style>
  <w:style w:type="character" w:customStyle="1" w:styleId="FunotentextZchn">
    <w:name w:val="Fußnotentext Zchn"/>
    <w:basedOn w:val="Absatz-Standardschriftart"/>
    <w:link w:val="Funotentext"/>
    <w:semiHidden/>
    <w:rsid w:val="00652B65"/>
    <w:rPr>
      <w:rFonts w:ascii="Arial" w:eastAsia="Times New Roman" w:hAnsi="Arial" w:cs="Times New Roman"/>
      <w:sz w:val="20"/>
      <w:szCs w:val="20"/>
      <w:lang w:val="de-CH" w:eastAsia="de-DE"/>
    </w:rPr>
  </w:style>
  <w:style w:type="character" w:styleId="Funotenzeichen">
    <w:name w:val="footnote reference"/>
    <w:basedOn w:val="Absatz-Standardschriftart"/>
    <w:semiHidden/>
    <w:rsid w:val="00652B65"/>
    <w:rPr>
      <w:vertAlign w:val="superscript"/>
    </w:rPr>
  </w:style>
  <w:style w:type="table" w:styleId="Tabellenraster">
    <w:name w:val="Table Grid"/>
    <w:basedOn w:val="NormaleTabelle"/>
    <w:uiPriority w:val="59"/>
    <w:rsid w:val="00C952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Raster-Akzent11">
    <w:name w:val="Helles Raster - Akzent 11"/>
    <w:basedOn w:val="NormaleTabelle"/>
    <w:uiPriority w:val="62"/>
    <w:rsid w:val="00C95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fzeile">
    <w:name w:val="header"/>
    <w:basedOn w:val="Standard"/>
    <w:link w:val="KopfzeileZchn"/>
    <w:uiPriority w:val="99"/>
    <w:unhideWhenUsed/>
    <w:rsid w:val="00FD7B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BA5"/>
    <w:rPr>
      <w:rFonts w:ascii="Calibri" w:hAnsi="Calibri"/>
    </w:rPr>
  </w:style>
  <w:style w:type="paragraph" w:styleId="Fuzeile">
    <w:name w:val="footer"/>
    <w:basedOn w:val="Standard"/>
    <w:link w:val="FuzeileZchn"/>
    <w:uiPriority w:val="99"/>
    <w:semiHidden/>
    <w:unhideWhenUsed/>
    <w:rsid w:val="00FD7BA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D7BA5"/>
    <w:rPr>
      <w:rFonts w:ascii="Calibri" w:hAnsi="Calibri"/>
    </w:rPr>
  </w:style>
  <w:style w:type="paragraph" w:styleId="Sprechblasentext">
    <w:name w:val="Balloon Text"/>
    <w:basedOn w:val="Standard"/>
    <w:link w:val="SprechblasentextZchn"/>
    <w:uiPriority w:val="99"/>
    <w:semiHidden/>
    <w:unhideWhenUsed/>
    <w:rsid w:val="00FD7B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7BA5"/>
    <w:rPr>
      <w:rFonts w:ascii="Tahoma" w:hAnsi="Tahoma" w:cs="Tahoma"/>
      <w:sz w:val="16"/>
      <w:szCs w:val="16"/>
    </w:rPr>
  </w:style>
  <w:style w:type="paragraph" w:styleId="StandardWeb">
    <w:name w:val="Normal (Web)"/>
    <w:basedOn w:val="Standard"/>
    <w:rsid w:val="00704CE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unhideWhenUsed/>
    <w:rsid w:val="007857C3"/>
    <w:rPr>
      <w:color w:val="0000FF" w:themeColor="hyperlink"/>
      <w:u w:val="single"/>
    </w:rPr>
  </w:style>
  <w:style w:type="paragraph" w:customStyle="1" w:styleId="Default">
    <w:name w:val="Default"/>
    <w:rsid w:val="004710D4"/>
    <w:pPr>
      <w:autoSpaceDE w:val="0"/>
      <w:autoSpaceDN w:val="0"/>
      <w:adjustRightInd w:val="0"/>
      <w:spacing w:after="0" w:line="240" w:lineRule="auto"/>
    </w:pPr>
    <w:rPr>
      <w:rFonts w:ascii="Calibri" w:hAnsi="Calibri"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8924-7540-4F1B-9F09-616F8081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Aktuelle Volkswirtschaftslehre, Peter Eisenhut</vt:lpstr>
    </vt:vector>
  </TitlesOfParts>
  <Company>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Volkswirtschaftslehre, Peter Eisenhut</dc:title>
  <dc:subject/>
  <dc:creator>Peter Eisenhut</dc:creator>
  <cp:keywords/>
  <dc:description/>
  <cp:lastModifiedBy>Peter Eisenhut</cp:lastModifiedBy>
  <cp:revision>3</cp:revision>
  <dcterms:created xsi:type="dcterms:W3CDTF">2018-05-04T15:03:00Z</dcterms:created>
  <dcterms:modified xsi:type="dcterms:W3CDTF">2018-05-04T15:12:00Z</dcterms:modified>
</cp:coreProperties>
</file>