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Lösungen</w:t>
      </w: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  <w:sz w:val="32"/>
          <w:szCs w:val="32"/>
        </w:rPr>
      </w:pPr>
      <w:r>
        <w:rPr>
          <w:rFonts w:cs="TimesTen-Bold"/>
          <w:b/>
          <w:bCs/>
          <w:sz w:val="32"/>
          <w:szCs w:val="32"/>
        </w:rPr>
        <w:t xml:space="preserve">Repetitionsaufgaben </w:t>
      </w:r>
    </w:p>
    <w:p w:rsidR="006F0316" w:rsidRPr="006F0316" w:rsidRDefault="006F0316" w:rsidP="006F0316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6F0316" w:rsidRPr="006F0316" w:rsidRDefault="006F0316" w:rsidP="006F0316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9</w:t>
      </w:r>
    </w:p>
    <w:p w:rsidR="0076162A" w:rsidRDefault="0076162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771187" w:rsidRPr="00667066" w:rsidRDefault="00771187" w:rsidP="0097638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 w:rsidRPr="00667066">
        <w:rPr>
          <w:rFonts w:cs="TimesTen-Bold"/>
          <w:b/>
          <w:bCs/>
        </w:rPr>
        <w:t>Was gehört zu M1?</w:t>
      </w:r>
    </w:p>
    <w:p w:rsidR="00771187" w:rsidRPr="00771187" w:rsidRDefault="009833DA" w:rsidP="00771187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6162A">
        <w:rPr>
          <w:rFonts w:cs="TimesTen-Roman"/>
        </w:rPr>
        <w:t>Festgeldanlagen</w:t>
      </w:r>
      <w:r w:rsidR="00771187">
        <w:rPr>
          <w:rFonts w:cs="TimesTen-Roman"/>
        </w:rPr>
        <w:t xml:space="preserve"> g</w:t>
      </w:r>
      <w:r w:rsidRPr="0076162A">
        <w:rPr>
          <w:rFonts w:cs="TimesTen-Roman"/>
        </w:rPr>
        <w:t>ehören nicht zu M1</w:t>
      </w:r>
      <w:r w:rsidR="00771187">
        <w:rPr>
          <w:rFonts w:cs="TimesTen-Roman"/>
        </w:rPr>
        <w:t>, sondern zu M3</w:t>
      </w:r>
    </w:p>
    <w:p w:rsidR="00771187" w:rsidRPr="00771187" w:rsidRDefault="0076162A" w:rsidP="00771187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 xml:space="preserve">Münzen im Publikum sind </w:t>
      </w:r>
      <w:r w:rsidR="009833DA" w:rsidRPr="0076162A">
        <w:rPr>
          <w:rFonts w:cs="TimesTen-Roman"/>
        </w:rPr>
        <w:t xml:space="preserve">Bestandteil vom M1 </w:t>
      </w:r>
    </w:p>
    <w:p w:rsidR="009833DA" w:rsidRPr="0076162A" w:rsidRDefault="009833DA" w:rsidP="00771187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6162A">
        <w:rPr>
          <w:rFonts w:cs="TimesTen-Roman"/>
        </w:rPr>
        <w:t>Noten bei den Banken</w:t>
      </w:r>
      <w:r w:rsidR="00771187">
        <w:rPr>
          <w:rFonts w:cs="TimesTen-Roman"/>
        </w:rPr>
        <w:t xml:space="preserve"> g</w:t>
      </w:r>
      <w:r w:rsidRPr="0076162A">
        <w:rPr>
          <w:rFonts w:cs="TimesTen-Roman"/>
        </w:rPr>
        <w:t>ehören nicht zu M1</w:t>
      </w:r>
      <w:r w:rsidR="00771187">
        <w:rPr>
          <w:rFonts w:cs="TimesTen-Roman"/>
        </w:rPr>
        <w:t>, sondern zur Notenbankgeldmenge</w:t>
      </w:r>
    </w:p>
    <w:p w:rsidR="0076162A" w:rsidRPr="0076162A" w:rsidRDefault="0076162A" w:rsidP="0076162A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771187" w:rsidRPr="00771187" w:rsidRDefault="00771187" w:rsidP="0097638C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 xml:space="preserve">Folgende </w:t>
      </w:r>
      <w:r w:rsidRPr="00667066">
        <w:rPr>
          <w:rFonts w:cs="TimesTen-Roman"/>
          <w:b/>
        </w:rPr>
        <w:t>Transaktionen verändern M1</w:t>
      </w:r>
      <w:r>
        <w:rPr>
          <w:rFonts w:cs="TimesTen-Roman"/>
        </w:rPr>
        <w:t xml:space="preserve"> in folgender Weisen: </w:t>
      </w:r>
    </w:p>
    <w:p w:rsidR="0076162A" w:rsidRPr="00771187" w:rsidRDefault="0076162A" w:rsidP="00771187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6162A">
        <w:rPr>
          <w:rFonts w:cs="TimesTen-Roman"/>
        </w:rPr>
        <w:t>Festgeldanlagen werden in Sichtguthaben umgewandelt: M1 wird grösser</w:t>
      </w:r>
    </w:p>
    <w:p w:rsidR="00771187" w:rsidRPr="00771187" w:rsidRDefault="0076162A" w:rsidP="00771187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71187">
        <w:rPr>
          <w:rFonts w:cs="TimesTen-Roman"/>
        </w:rPr>
        <w:t>Eine Gemeinde kauft von einer Bank eine Liegenschaft: M1 wird kleiner.</w:t>
      </w:r>
    </w:p>
    <w:p w:rsidR="00771187" w:rsidRPr="00771187" w:rsidRDefault="0076162A" w:rsidP="00771187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71187">
        <w:rPr>
          <w:rFonts w:cs="TimesTen-Roman"/>
        </w:rPr>
        <w:t>Die Nationalbank verkauft an eine Geschäftsbank eine Million Dollars: Keinen Einfluss auf M1.</w:t>
      </w:r>
    </w:p>
    <w:p w:rsidR="0076162A" w:rsidRPr="00771187" w:rsidRDefault="0076162A" w:rsidP="00771187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771187">
        <w:rPr>
          <w:rFonts w:cs="TimesTen-Roman"/>
        </w:rPr>
        <w:t>Eine Bank kauft Obligationen einer Bauunternehmung: M1 wird grösser.</w:t>
      </w:r>
    </w:p>
    <w:p w:rsidR="0076162A" w:rsidRPr="0076162A" w:rsidRDefault="0076162A" w:rsidP="0076162A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76162A" w:rsidRDefault="00771187" w:rsidP="0077118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>
        <w:rPr>
          <w:rFonts w:cs="TimesTen-Bold"/>
          <w:bCs/>
        </w:rPr>
        <w:t>Zur Schweizerischen Nationalbank:</w:t>
      </w:r>
    </w:p>
    <w:p w:rsidR="009833DA" w:rsidRPr="00F14B72" w:rsidRDefault="00771187" w:rsidP="0077118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 w:rsidRPr="00667066">
        <w:rPr>
          <w:rFonts w:cs="TimesTen-Roman"/>
          <w:b/>
        </w:rPr>
        <w:t>Hauptaufgaben:</w:t>
      </w:r>
      <w:r>
        <w:rPr>
          <w:rFonts w:cs="TimesTen-Roman"/>
        </w:rPr>
        <w:t xml:space="preserve"> </w:t>
      </w:r>
      <w:r w:rsidR="009833DA" w:rsidRPr="00F14B72">
        <w:rPr>
          <w:rFonts w:cs="TimesTen-Roman"/>
        </w:rPr>
        <w:t>Geldumlauf regeln, Zahlungsverkehr erleichtern und eine im Gesamtinteresse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des Landes stehende Kredit- und Währungspolitik betreiben.</w:t>
      </w:r>
    </w:p>
    <w:p w:rsidR="00771187" w:rsidRPr="00771187" w:rsidRDefault="00771187" w:rsidP="0077118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 w:rsidRPr="00667066">
        <w:rPr>
          <w:rFonts w:cs="TimesTen-Roman"/>
          <w:b/>
        </w:rPr>
        <w:t>Notenumlauf:</w:t>
      </w:r>
      <w:r>
        <w:rPr>
          <w:rFonts w:cs="TimesTen-Roman"/>
        </w:rPr>
        <w:t xml:space="preserve"> </w:t>
      </w:r>
      <w:r w:rsidR="009833DA" w:rsidRPr="00F14B72">
        <w:rPr>
          <w:rFonts w:cs="TimesTen-Roman"/>
        </w:rPr>
        <w:t>Die Noten, welche die Nationalbank herausgibt, sind eine Schuld der SNB;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früher einlösbar gegen Gold, heute ist diese Schuld nur noch fiktiver Natur.</w:t>
      </w:r>
    </w:p>
    <w:p w:rsidR="00771187" w:rsidRPr="00771187" w:rsidRDefault="00667066" w:rsidP="00771187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rPr>
          <w:rFonts w:cs="TimesTen-Bold"/>
          <w:bCs/>
        </w:rPr>
      </w:pPr>
      <w:r w:rsidRPr="00667066">
        <w:rPr>
          <w:b/>
        </w:rPr>
        <w:t>Geldpolitische Instrumente der SNB seit der Finanzkrise:</w:t>
      </w:r>
      <w:r>
        <w:t xml:space="preserve"> </w:t>
      </w:r>
      <w:r w:rsidR="00771187" w:rsidRPr="00771187">
        <w:t xml:space="preserve">Herabsetzung Zinszielband, Devisenkäufe / Devisenswaps, Kauf von Obligationen privater Schuldner, Herausgabe von SNB-Bills, Kursuntergrenze für den Euro, antizyklischer Kapitalpuffer, Negativzinsen. </w:t>
      </w:r>
    </w:p>
    <w:p w:rsidR="00F14B72" w:rsidRPr="00771187" w:rsidRDefault="00F14B72" w:rsidP="00771187">
      <w:pPr>
        <w:pStyle w:val="Listenabsatz"/>
        <w:autoSpaceDE w:val="0"/>
        <w:autoSpaceDN w:val="0"/>
        <w:adjustRightInd w:val="0"/>
        <w:spacing w:after="0" w:line="240" w:lineRule="auto"/>
        <w:ind w:left="1440"/>
        <w:rPr>
          <w:rFonts w:cs="TimesTen-Roman"/>
        </w:rPr>
      </w:pPr>
    </w:p>
    <w:p w:rsidR="00F14B72" w:rsidRDefault="00F14B72" w:rsidP="00771187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Roman"/>
        </w:rPr>
      </w:pPr>
      <w:r>
        <w:rPr>
          <w:rFonts w:cs="TimesTen-Roman"/>
        </w:rPr>
        <w:t xml:space="preserve"> </w:t>
      </w:r>
      <w:r w:rsidR="00771187" w:rsidRPr="00667066">
        <w:rPr>
          <w:rFonts w:cs="TimesTen-Roman"/>
          <w:b/>
        </w:rPr>
        <w:t>Geldmengenerhöhungen</w:t>
      </w:r>
      <w:r w:rsidR="00771187">
        <w:rPr>
          <w:rFonts w:cs="TimesTen-Roman"/>
        </w:rPr>
        <w:t xml:space="preserve"> und ihr Wirkungen:</w:t>
      </w:r>
    </w:p>
    <w:p w:rsidR="009833DA" w:rsidRDefault="00F14B72" w:rsidP="00771187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cs="TimesTen-Roman"/>
        </w:rPr>
      </w:pPr>
      <w:r w:rsidRPr="00F14B72">
        <w:rPr>
          <w:rFonts w:cs="TimesTen-Roman"/>
        </w:rPr>
        <w:t xml:space="preserve"> </w:t>
      </w:r>
      <w:r w:rsidR="009833DA" w:rsidRPr="00771187">
        <w:rPr>
          <w:rFonts w:cs="TimesTen-Roman"/>
          <w:b/>
        </w:rPr>
        <w:t>Anpassung des Preisniveaus</w:t>
      </w:r>
      <w:r w:rsidR="009833DA" w:rsidRPr="00F14B72">
        <w:rPr>
          <w:rFonts w:cs="TimesTen-Roman"/>
        </w:rPr>
        <w:t xml:space="preserve"> (Anstieg) an das real konstante Angebot.</w:t>
      </w:r>
      <w:r w:rsidR="00771187">
        <w:rPr>
          <w:rFonts w:cs="TimesTen-Roman"/>
        </w:rPr>
        <w:t xml:space="preserve"> Langfristig hat eine expansive Geldpolitik keine realen Wirkungen.</w:t>
      </w:r>
    </w:p>
    <w:p w:rsidR="00771187" w:rsidRDefault="009833DA" w:rsidP="00771187">
      <w:pPr>
        <w:pStyle w:val="Listenabsatz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cs="TimesTen-Roman"/>
        </w:rPr>
      </w:pPr>
      <w:r w:rsidRPr="00771187">
        <w:rPr>
          <w:rFonts w:cs="TimesTen-Roman"/>
          <w:b/>
        </w:rPr>
        <w:t>Hoffnungen:</w:t>
      </w:r>
      <w:r w:rsidRPr="00F14B72">
        <w:rPr>
          <w:rFonts w:cs="TimesTen-Roman"/>
        </w:rPr>
        <w:t xml:space="preserve"> Sinkende Zinsen, steigende Investitionen und Nettoexporte und</w:t>
      </w:r>
      <w:r w:rsidR="00F14B72">
        <w:rPr>
          <w:rFonts w:cs="TimesTen-Roman"/>
        </w:rPr>
        <w:t xml:space="preserve"> </w:t>
      </w:r>
      <w:r w:rsidRPr="00F14B72">
        <w:rPr>
          <w:rFonts w:cs="TimesTen-Roman"/>
        </w:rPr>
        <w:t>dadurch Erhöhung des BIP.</w:t>
      </w:r>
      <w:r w:rsidR="00F14B72">
        <w:rPr>
          <w:rFonts w:cs="TimesTen-Roman"/>
        </w:rPr>
        <w:t xml:space="preserve"> </w:t>
      </w:r>
    </w:p>
    <w:p w:rsidR="009833DA" w:rsidRDefault="009833DA" w:rsidP="00771187">
      <w:pPr>
        <w:pStyle w:val="Listenabsatz"/>
        <w:autoSpaceDE w:val="0"/>
        <w:autoSpaceDN w:val="0"/>
        <w:adjustRightInd w:val="0"/>
        <w:spacing w:after="120" w:line="240" w:lineRule="auto"/>
        <w:ind w:left="1418"/>
        <w:contextualSpacing w:val="0"/>
        <w:rPr>
          <w:rFonts w:cs="TimesTen-Roman"/>
        </w:rPr>
      </w:pPr>
      <w:r w:rsidRPr="00771187">
        <w:rPr>
          <w:rFonts w:cs="TimesTen-Roman"/>
          <w:b/>
        </w:rPr>
        <w:t>Einwände:</w:t>
      </w:r>
      <w:r w:rsidRPr="00F14B72">
        <w:rPr>
          <w:rFonts w:cs="TimesTen-Roman"/>
        </w:rPr>
        <w:t xml:space="preserve"> Liquiditäts- und Investitionsfalle</w:t>
      </w:r>
      <w:r w:rsidR="008C0AF9">
        <w:rPr>
          <w:rFonts w:cs="TimesTen-Roman"/>
        </w:rPr>
        <w:t xml:space="preserve">, Kreditklemme </w:t>
      </w:r>
      <w:r w:rsidRPr="00F14B72">
        <w:rPr>
          <w:rFonts w:cs="TimesTen-Roman"/>
        </w:rPr>
        <w:t>und rationale Erwartungen</w:t>
      </w:r>
      <w:r w:rsidR="00F14B72">
        <w:rPr>
          <w:rFonts w:cs="TimesTen-Roman"/>
        </w:rPr>
        <w:t xml:space="preserve"> </w:t>
      </w:r>
      <w:r w:rsidRPr="00F14B72">
        <w:rPr>
          <w:rFonts w:cs="TimesTen-Roman"/>
        </w:rPr>
        <w:t>können die erhofften Wirkungen verhindern oder schmälern</w:t>
      </w:r>
      <w:r w:rsidR="008C0AF9">
        <w:rPr>
          <w:rFonts w:cs="TimesTen-Roman"/>
        </w:rPr>
        <w:t>, Deflationsgefahren.</w:t>
      </w:r>
    </w:p>
    <w:p w:rsidR="00F14B72" w:rsidRDefault="00F14B72" w:rsidP="00F14B72">
      <w:pPr>
        <w:pStyle w:val="Listenabsatz"/>
        <w:autoSpaceDE w:val="0"/>
        <w:autoSpaceDN w:val="0"/>
        <w:adjustRightInd w:val="0"/>
        <w:spacing w:after="0" w:line="240" w:lineRule="auto"/>
        <w:ind w:left="1418"/>
        <w:rPr>
          <w:rFonts w:cs="TimesTen-Roman"/>
        </w:rPr>
      </w:pPr>
    </w:p>
    <w:p w:rsidR="00F14B72" w:rsidRDefault="008C0AF9" w:rsidP="008C0AF9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 w:val="0"/>
        <w:rPr>
          <w:rFonts w:cs="TimesTen-Roman"/>
        </w:rPr>
      </w:pPr>
      <w:r>
        <w:rPr>
          <w:rFonts w:cs="TimesTen-Roman"/>
        </w:rPr>
        <w:t xml:space="preserve">Zum </w:t>
      </w:r>
      <w:bookmarkStart w:id="0" w:name="_GoBack"/>
      <w:r w:rsidRPr="00667066">
        <w:rPr>
          <w:rFonts w:cs="TimesTen-Roman"/>
          <w:b/>
        </w:rPr>
        <w:t>Landesindex der Konsumentenpreise</w:t>
      </w:r>
      <w:bookmarkEnd w:id="0"/>
      <w:r>
        <w:rPr>
          <w:rFonts w:cs="TimesTen-Roman"/>
        </w:rPr>
        <w:t xml:space="preserve">: </w:t>
      </w:r>
    </w:p>
    <w:p w:rsidR="00F14B72" w:rsidRDefault="008C0AF9" w:rsidP="008C0AF9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cs="TimesTen-Roman"/>
        </w:rPr>
      </w:pPr>
      <w:r w:rsidRPr="008C0AF9">
        <w:rPr>
          <w:rFonts w:cs="TimesTen-Roman"/>
          <w:b/>
        </w:rPr>
        <w:t>Aufbau:</w:t>
      </w:r>
      <w:r>
        <w:rPr>
          <w:rFonts w:cs="TimesTen-Roman"/>
        </w:rPr>
        <w:t xml:space="preserve"> </w:t>
      </w:r>
      <w:r w:rsidR="00F14B72" w:rsidRPr="00F14B72">
        <w:rPr>
          <w:rFonts w:cs="TimesTen-Roman"/>
        </w:rPr>
        <w:t xml:space="preserve">Die </w:t>
      </w:r>
      <w:proofErr w:type="spellStart"/>
      <w:r w:rsidR="00F14B72" w:rsidRPr="00F14B72">
        <w:rPr>
          <w:rFonts w:cs="TimesTen-Roman"/>
        </w:rPr>
        <w:t>massgeblichen</w:t>
      </w:r>
      <w:proofErr w:type="spellEnd"/>
      <w:r w:rsidR="00F14B72" w:rsidRPr="00F14B72">
        <w:rPr>
          <w:rFonts w:cs="TimesTen-Roman"/>
        </w:rPr>
        <w:t xml:space="preserve"> Konsumausgaben der Haushalte werden im LIK in Bedarfsgruppen</w:t>
      </w:r>
      <w:r w:rsidR="00F14B72">
        <w:rPr>
          <w:rFonts w:cs="TimesTen-Roman"/>
        </w:rPr>
        <w:t xml:space="preserve"> </w:t>
      </w:r>
      <w:r w:rsidR="00F14B72" w:rsidRPr="00F14B72">
        <w:rPr>
          <w:rFonts w:cs="TimesTen-Roman"/>
        </w:rPr>
        <w:t>zusammengefasst und auf der Grundlage der Verbrauchsgewohnheiten</w:t>
      </w:r>
      <w:r w:rsidR="00F14B72">
        <w:rPr>
          <w:rFonts w:cs="TimesTen-Roman"/>
        </w:rPr>
        <w:t>.</w:t>
      </w:r>
    </w:p>
    <w:p w:rsidR="009833DA" w:rsidRDefault="008C0AF9" w:rsidP="008C0AF9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418" w:hanging="284"/>
        <w:contextualSpacing w:val="0"/>
        <w:rPr>
          <w:rFonts w:cs="TimesTen-Roman"/>
        </w:rPr>
      </w:pPr>
      <w:r w:rsidRPr="008C0AF9">
        <w:rPr>
          <w:rFonts w:cs="TimesTen-Roman"/>
          <w:b/>
        </w:rPr>
        <w:t>Lebenshaltungskosten:</w:t>
      </w:r>
      <w:r w:rsidR="009833DA" w:rsidRPr="00F14B72">
        <w:rPr>
          <w:rFonts w:cs="TimesTen-Roman"/>
        </w:rPr>
        <w:t xml:space="preserve"> Nicht alle Ausgaben, die in einem Haushalt anfallen, </w:t>
      </w:r>
      <w:proofErr w:type="spellStart"/>
      <w:r w:rsidR="009833DA" w:rsidRPr="00F14B72">
        <w:rPr>
          <w:rFonts w:cs="TimesTen-Roman"/>
        </w:rPr>
        <w:t>fliessen</w:t>
      </w:r>
      <w:proofErr w:type="spellEnd"/>
      <w:r w:rsidR="009833DA" w:rsidRPr="00F14B72">
        <w:rPr>
          <w:rFonts w:cs="TimesTen-Roman"/>
        </w:rPr>
        <w:t xml:space="preserve"> in die Berechnung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des LIK ein. Dabei fehlen insbesondere die direkten Steuern, die Prämien für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Sozial- und Privatversicherungen, die Motorfahrzeugsteuer und Haftpflichtversicherung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 xml:space="preserve">ebenso wie die Krankenkassenprämien, obwohl diese Ausgaben </w:t>
      </w:r>
      <w:r w:rsidR="009833DA" w:rsidRPr="00F14B72">
        <w:rPr>
          <w:rFonts w:cs="TimesTen-Roman"/>
        </w:rPr>
        <w:lastRenderedPageBreak/>
        <w:t>ca.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30% aller Ausgaben eines Haushaltes ausmachen. Der Grund dafür liegt darin,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dass sich der LIK am «Privaten Konsum» der Volkswirtschaftlichen Gesamtrechnung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orientiert. Deshalb werden nicht die Krankenkassenprämien gemessen,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sondern z.B. die Preise für Medikamente oder für eine Operation. Der LIK stellt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die Entwicklung der Preise der für die Konsumenten bedeutsamen Waren und</w:t>
      </w:r>
      <w:r w:rsidR="00F14B72">
        <w:rPr>
          <w:rFonts w:cs="TimesTen-Roman"/>
        </w:rPr>
        <w:t xml:space="preserve"> </w:t>
      </w:r>
      <w:r w:rsidR="009833DA" w:rsidRPr="00F14B72">
        <w:rPr>
          <w:rFonts w:cs="TimesTen-Roman"/>
        </w:rPr>
        <w:t>Dienstleistungen dar und nicht die Entwicklung der Lebenshaltungskosten.</w:t>
      </w:r>
    </w:p>
    <w:p w:rsidR="008C0AF9" w:rsidRDefault="008C0AF9" w:rsidP="008C0AF9">
      <w:pPr>
        <w:pStyle w:val="Listenabsatz"/>
        <w:autoSpaceDE w:val="0"/>
        <w:autoSpaceDN w:val="0"/>
        <w:adjustRightInd w:val="0"/>
        <w:spacing w:after="120" w:line="240" w:lineRule="auto"/>
        <w:ind w:left="1418"/>
        <w:contextualSpacing w:val="0"/>
        <w:rPr>
          <w:rFonts w:cs="TimesTen-Roman"/>
        </w:rPr>
      </w:pPr>
    </w:p>
    <w:p w:rsidR="00B92A21" w:rsidRPr="008C0AF9" w:rsidRDefault="008C0AF9" w:rsidP="008C0AF9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C0AF9">
        <w:rPr>
          <w:rFonts w:cs="TimesTen-Roman"/>
          <w:b/>
        </w:rPr>
        <w:t xml:space="preserve">Inflationsursachen: </w:t>
      </w:r>
      <w:r w:rsidR="009833DA" w:rsidRPr="00B92A21">
        <w:rPr>
          <w:rFonts w:cs="TimesTen-Roman"/>
        </w:rPr>
        <w:t>Ausdehnung der Geldmenge (monetaristischer Ansatz), Nachfrage- und Angebotsinflation.</w:t>
      </w:r>
    </w:p>
    <w:p w:rsidR="008C0AF9" w:rsidRPr="008C0AF9" w:rsidRDefault="008C0AF9" w:rsidP="008C0AF9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136195" w:rsidRPr="00136195" w:rsidRDefault="008C0AF9" w:rsidP="0013619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C0AF9">
        <w:rPr>
          <w:rFonts w:cs="TimesTen-Roman"/>
          <w:b/>
        </w:rPr>
        <w:t>Negative Folgen einer Inflation:</w:t>
      </w:r>
      <w:r>
        <w:rPr>
          <w:rFonts w:cs="TimesTen-Roman"/>
        </w:rPr>
        <w:t xml:space="preserve"> </w:t>
      </w:r>
      <w:r w:rsidR="009833DA" w:rsidRPr="00B92A21">
        <w:rPr>
          <w:rFonts w:cs="TimesTen-Roman"/>
        </w:rPr>
        <w:t>Ungerechte Einkommens- und Vermögensumverteilungen (Verlust für die Gläubiger,</w:t>
      </w:r>
      <w:r w:rsidR="00B92A21">
        <w:rPr>
          <w:rFonts w:cs="TimesTen-Roman"/>
        </w:rPr>
        <w:t xml:space="preserve"> </w:t>
      </w:r>
      <w:r w:rsidR="009833DA" w:rsidRPr="00B92A21">
        <w:rPr>
          <w:rFonts w:cs="TimesTen-Roman"/>
        </w:rPr>
        <w:t>Gewinn für die Schuldner, Umverteilung zwischen Geld- und Sachvermögensbesitzer,</w:t>
      </w:r>
      <w:r w:rsidR="00B92A21">
        <w:rPr>
          <w:rFonts w:cs="TimesTen-Roman"/>
        </w:rPr>
        <w:t xml:space="preserve"> </w:t>
      </w:r>
      <w:r w:rsidR="009833DA" w:rsidRPr="00B92A21">
        <w:rPr>
          <w:rFonts w:cs="TimesTen-Roman"/>
        </w:rPr>
        <w:t>kalte Progression);</w:t>
      </w:r>
      <w:r>
        <w:rPr>
          <w:rFonts w:cs="TimesTen-Roman"/>
        </w:rPr>
        <w:t xml:space="preserve"> </w:t>
      </w:r>
      <w:r w:rsidR="009833DA" w:rsidRPr="00B92A21">
        <w:rPr>
          <w:rFonts w:cs="TimesTen-Roman"/>
        </w:rPr>
        <w:t>Verzerrung der Preissignale und ineffiziente Allokation</w:t>
      </w:r>
      <w:r w:rsidR="00B92A21">
        <w:rPr>
          <w:rFonts w:cs="TimesTen-Roman"/>
        </w:rPr>
        <w:t xml:space="preserve"> </w:t>
      </w:r>
      <w:r w:rsidR="009833DA" w:rsidRPr="00B92A21">
        <w:rPr>
          <w:rFonts w:cs="TimesTen-Roman"/>
        </w:rPr>
        <w:t>der Ressourcen.</w:t>
      </w:r>
    </w:p>
    <w:p w:rsidR="00136195" w:rsidRDefault="00136195" w:rsidP="00136195">
      <w:pPr>
        <w:pStyle w:val="Listenabsatz"/>
      </w:pPr>
    </w:p>
    <w:p w:rsidR="00136195" w:rsidRPr="00136195" w:rsidRDefault="00136195" w:rsidP="00136195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136195">
        <w:rPr>
          <w:b/>
        </w:rPr>
        <w:t>„Ungefährlich“ ist eine Deflation</w:t>
      </w:r>
      <w:r w:rsidRPr="00136195">
        <w:t>, wenn angebotsseitige Schocks für das sinkende Preisniveau verantwortlich sind (z.B. Integration der Schwellenländer mit günstigen Produkten in die Weltwirtschaft, technische Fortschritte wie die Digitalisierung</w:t>
      </w:r>
      <w:r>
        <w:t>)</w:t>
      </w:r>
      <w:r w:rsidRPr="00136195">
        <w:t xml:space="preserve">. Auch Strukturreformen, die zu mehr Wettbewerb und damit sinkenden Preisen führen, sind </w:t>
      </w:r>
      <w:r>
        <w:t>volkswirtschaftlich erwünscht</w:t>
      </w:r>
      <w:r w:rsidRPr="00136195">
        <w:t xml:space="preserve">. </w:t>
      </w:r>
    </w:p>
    <w:p w:rsidR="00B92A21" w:rsidRDefault="00B92A21">
      <w:pPr>
        <w:rPr>
          <w:rFonts w:cs="TimesTen-Bold"/>
          <w:b/>
          <w:bCs/>
        </w:rPr>
      </w:pPr>
      <w:r>
        <w:rPr>
          <w:rFonts w:cs="TimesTen-Bold"/>
          <w:b/>
          <w:bCs/>
        </w:rPr>
        <w:br w:type="page"/>
      </w: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lastRenderedPageBreak/>
        <w:t>Kapitel 10</w:t>
      </w:r>
    </w:p>
    <w:p w:rsidR="00033E32" w:rsidRDefault="00033E32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033E32" w:rsidRPr="00033E32" w:rsidRDefault="00033E32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033E32" w:rsidRDefault="009833DA" w:rsidP="0097638C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9833DA">
        <w:rPr>
          <w:rFonts w:cs="TimesTen-Roman"/>
        </w:rPr>
        <w:t xml:space="preserve">Klassische Erklärung (Inflexibilität der Löhne); </w:t>
      </w:r>
    </w:p>
    <w:p w:rsidR="00033E32" w:rsidRDefault="009833DA" w:rsidP="00033E32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Roman"/>
        </w:rPr>
      </w:pPr>
      <w:r w:rsidRPr="009833DA">
        <w:rPr>
          <w:rFonts w:cs="TimesTen-Roman"/>
        </w:rPr>
        <w:t>Keynesianische Erklärung (Güter-</w:t>
      </w:r>
      <w:r w:rsidR="00033E32">
        <w:rPr>
          <w:rFonts w:cs="TimesTen-Roman"/>
        </w:rPr>
        <w:t xml:space="preserve"> </w:t>
      </w:r>
      <w:r w:rsidRPr="009833DA">
        <w:rPr>
          <w:rFonts w:cs="TimesTen-Roman"/>
        </w:rPr>
        <w:t>und Geldmarktgleichgewicht bei gleichzeitigem Ungleichgewicht am Arbeitsmarkt</w:t>
      </w:r>
      <w:r w:rsidR="00033E32">
        <w:rPr>
          <w:rFonts w:cs="TimesTen-Roman"/>
        </w:rPr>
        <w:t xml:space="preserve"> </w:t>
      </w:r>
      <w:r w:rsidRPr="009833DA">
        <w:rPr>
          <w:rFonts w:cs="TimesTen-Roman"/>
        </w:rPr>
        <w:t xml:space="preserve">ist möglich); </w:t>
      </w:r>
    </w:p>
    <w:p w:rsidR="00033E32" w:rsidRDefault="009833DA" w:rsidP="00033E32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Roman"/>
        </w:rPr>
      </w:pPr>
      <w:r w:rsidRPr="009833DA">
        <w:rPr>
          <w:rFonts w:cs="TimesTen-Roman"/>
        </w:rPr>
        <w:t>Insider-Outsider-Modell (Insider nützen ihre Macht gegenüber</w:t>
      </w:r>
      <w:r w:rsidR="00033E32">
        <w:rPr>
          <w:rFonts w:cs="TimesTen-Roman"/>
        </w:rPr>
        <w:t xml:space="preserve"> </w:t>
      </w:r>
      <w:r w:rsidRPr="009833DA">
        <w:rPr>
          <w:rFonts w:cs="TimesTen-Roman"/>
        </w:rPr>
        <w:t xml:space="preserve">den Outsidern); </w:t>
      </w:r>
    </w:p>
    <w:p w:rsidR="009833DA" w:rsidRDefault="009833DA" w:rsidP="00033E32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Roman"/>
        </w:rPr>
      </w:pPr>
      <w:r w:rsidRPr="009833DA">
        <w:rPr>
          <w:rFonts w:cs="TimesTen-Roman"/>
        </w:rPr>
        <w:t>Effizienzlohntheorie (Unternehmer sind interessiert an</w:t>
      </w:r>
      <w:r w:rsidR="00033E32">
        <w:rPr>
          <w:rFonts w:cs="TimesTen-Roman"/>
        </w:rPr>
        <w:t xml:space="preserve"> </w:t>
      </w:r>
      <w:r w:rsidRPr="009833DA">
        <w:rPr>
          <w:rFonts w:cs="TimesTen-Roman"/>
        </w:rPr>
        <w:t>hohen Löhnen, die zusätzliche Einstellungen verhindern, aber die Leistungen</w:t>
      </w:r>
      <w:r w:rsidR="00033E32">
        <w:rPr>
          <w:rFonts w:cs="TimesTen-Roman"/>
        </w:rPr>
        <w:t xml:space="preserve"> </w:t>
      </w:r>
      <w:r w:rsidRPr="009833DA">
        <w:rPr>
          <w:rFonts w:cs="TimesTen-Roman"/>
        </w:rPr>
        <w:t>der Mitarbeiter steigern).</w:t>
      </w:r>
    </w:p>
    <w:p w:rsidR="009833DA" w:rsidRPr="00033E32" w:rsidRDefault="009833DA" w:rsidP="0097638C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033E32">
        <w:rPr>
          <w:rFonts w:cs="TimesTen-Roman"/>
        </w:rPr>
        <w:t xml:space="preserve"> Saisonale und friktionelle Arbeitslosigkeit, konjunkturelle Arbeitslosigkeit,</w:t>
      </w:r>
      <w:r w:rsidR="00033E32">
        <w:rPr>
          <w:rFonts w:cs="TimesTen-Roman"/>
        </w:rPr>
        <w:t xml:space="preserve"> strukturelle Arbeitslosigkeit und </w:t>
      </w:r>
      <w:r w:rsidRPr="00033E32">
        <w:rPr>
          <w:rFonts w:cs="TimesTen-Roman"/>
        </w:rPr>
        <w:t>Sockelarbeitslosigkeit (natürliche Arbeitslosigkeit).</w:t>
      </w:r>
    </w:p>
    <w:p w:rsidR="00033E32" w:rsidRDefault="00033E32" w:rsidP="00033E32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033E32" w:rsidRDefault="009833DA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033E32">
        <w:rPr>
          <w:rFonts w:cs="TimesTen-Roman"/>
        </w:rPr>
        <w:t xml:space="preserve">Nach jedem konjunkturellen Einbruch und der </w:t>
      </w:r>
      <w:proofErr w:type="spellStart"/>
      <w:r w:rsidRPr="00033E32">
        <w:rPr>
          <w:rFonts w:cs="TimesTen-Roman"/>
        </w:rPr>
        <w:t>anschliessenden</w:t>
      </w:r>
      <w:proofErr w:type="spellEnd"/>
      <w:r w:rsidRPr="00033E32">
        <w:rPr>
          <w:rFonts w:cs="TimesTen-Roman"/>
        </w:rPr>
        <w:t xml:space="preserve"> Erholung steigt die</w:t>
      </w:r>
      <w:r w:rsidR="00033E32">
        <w:rPr>
          <w:rFonts w:cs="TimesTen-Roman"/>
        </w:rPr>
        <w:t xml:space="preserve"> </w:t>
      </w:r>
      <w:r w:rsidRPr="00033E32">
        <w:rPr>
          <w:rFonts w:cs="TimesTen-Roman"/>
        </w:rPr>
        <w:t>Sockelarbeitslosigkeit auf eine Stufe höher.</w:t>
      </w:r>
    </w:p>
    <w:p w:rsidR="00033E32" w:rsidRPr="00033E32" w:rsidRDefault="00033E32" w:rsidP="00033E32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680A58" w:rsidRDefault="009833DA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680A58">
        <w:rPr>
          <w:rFonts w:cs="TimesTen-Roman"/>
        </w:rPr>
        <w:t>Revitalisierung und Verbesserung der Rahmenbedingungen, Steigerung der Standortattraktivität,</w:t>
      </w:r>
      <w:r w:rsidR="00680A58">
        <w:rPr>
          <w:rFonts w:cs="TimesTen-Roman"/>
        </w:rPr>
        <w:t xml:space="preserve"> </w:t>
      </w:r>
      <w:r w:rsidRPr="00680A58">
        <w:rPr>
          <w:rFonts w:cs="TimesTen-Roman"/>
        </w:rPr>
        <w:t>Erhöhung der Innovationsfähigkeit, Steigerung der Produktivität.</w:t>
      </w:r>
    </w:p>
    <w:p w:rsidR="00680A58" w:rsidRPr="00680A58" w:rsidRDefault="00680A58" w:rsidP="00680A58">
      <w:pPr>
        <w:pStyle w:val="Listenabsatz"/>
        <w:rPr>
          <w:rFonts w:cs="TimesTen-Bold"/>
          <w:bCs/>
        </w:rPr>
      </w:pPr>
    </w:p>
    <w:p w:rsidR="009833DA" w:rsidRPr="00680A58" w:rsidRDefault="009833DA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680A58">
        <w:rPr>
          <w:rFonts w:cs="TimesTen-Roman"/>
        </w:rPr>
        <w:t>Verlängerung der Lebensarbeitszeit,</w:t>
      </w:r>
      <w:r w:rsidR="00680A58">
        <w:rPr>
          <w:rFonts w:cs="TimesTen-Roman"/>
        </w:rPr>
        <w:t xml:space="preserve"> Migrations</w:t>
      </w:r>
      <w:r w:rsidRPr="00680A58">
        <w:rPr>
          <w:rFonts w:cs="TimesTen-Roman"/>
        </w:rPr>
        <w:t>politik,</w:t>
      </w:r>
      <w:r w:rsidR="00680A58">
        <w:rPr>
          <w:rFonts w:cs="TimesTen-Roman"/>
        </w:rPr>
        <w:t xml:space="preserve"> </w:t>
      </w:r>
      <w:r w:rsidRPr="00680A58">
        <w:rPr>
          <w:rFonts w:cs="TimesTen-Roman"/>
        </w:rPr>
        <w:t>Weiterbildung</w:t>
      </w:r>
      <w:r w:rsidR="00680A58">
        <w:rPr>
          <w:rFonts w:cs="TimesTen-Roman"/>
        </w:rPr>
        <w:t>, Familienpolitik.</w:t>
      </w:r>
    </w:p>
    <w:p w:rsidR="00680A58" w:rsidRPr="00680A58" w:rsidRDefault="00680A58" w:rsidP="00680A58">
      <w:pPr>
        <w:pStyle w:val="Listenabsatz"/>
        <w:rPr>
          <w:rFonts w:cs="TimesTen-Bold"/>
          <w:bCs/>
        </w:rPr>
      </w:pPr>
    </w:p>
    <w:p w:rsidR="009833DA" w:rsidRPr="00680A58" w:rsidRDefault="00680A58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>Arbeit kann nicht so leicht „umverteilt“ werden, weil die Arbeitskräfte sehr heterogen sind. Zudem besteht entweder eine g</w:t>
      </w:r>
      <w:r w:rsidR="009833DA" w:rsidRPr="00680A58">
        <w:rPr>
          <w:rFonts w:cs="TimesTen-Roman"/>
        </w:rPr>
        <w:t>ewisse Gefahr für die Wettbewerbsfähigkeit (Lohnstückkosten</w:t>
      </w:r>
      <w:r>
        <w:rPr>
          <w:rFonts w:cs="TimesTen-Roman"/>
        </w:rPr>
        <w:t xml:space="preserve"> steigen, falls Arbeitszeitverkürzungen nicht Lohnkürzungen zur Folge haben). Arbeitszeitverkürzungen lösen</w:t>
      </w:r>
      <w:r w:rsidR="009833DA" w:rsidRPr="00680A58">
        <w:rPr>
          <w:rFonts w:cs="TimesTen-Roman"/>
        </w:rPr>
        <w:t xml:space="preserve"> das grundsätzliche</w:t>
      </w:r>
      <w:r>
        <w:rPr>
          <w:rFonts w:cs="TimesTen-Roman"/>
        </w:rPr>
        <w:t xml:space="preserve"> </w:t>
      </w:r>
      <w:r w:rsidR="009833DA" w:rsidRPr="00680A58">
        <w:rPr>
          <w:rFonts w:cs="TimesTen-Roman"/>
        </w:rPr>
        <w:t>Problem einer strukturellen Arbeitslosigkeit nicht (keine Ursachenthera</w:t>
      </w:r>
      <w:r>
        <w:rPr>
          <w:rFonts w:cs="TimesTen-Roman"/>
        </w:rPr>
        <w:t xml:space="preserve">pie). Die </w:t>
      </w:r>
      <w:r w:rsidR="009833DA" w:rsidRPr="00680A58">
        <w:rPr>
          <w:rFonts w:cs="TimesTen-Roman"/>
        </w:rPr>
        <w:t>Bereitschaft der Arbeit</w:t>
      </w:r>
      <w:r>
        <w:rPr>
          <w:rFonts w:cs="TimesTen-Roman"/>
        </w:rPr>
        <w:t>nehmer zu einer „s</w:t>
      </w:r>
      <w:r w:rsidR="009833DA" w:rsidRPr="00680A58">
        <w:rPr>
          <w:rFonts w:cs="TimesTen-Roman"/>
        </w:rPr>
        <w:t>taatlich verordnete Solidari</w:t>
      </w:r>
      <w:r>
        <w:rPr>
          <w:rFonts w:cs="TimesTen-Roman"/>
        </w:rPr>
        <w:t>tät“ ist</w:t>
      </w:r>
      <w:r w:rsidR="009833DA" w:rsidRPr="00680A58">
        <w:rPr>
          <w:rFonts w:cs="TimesTen-Roman"/>
        </w:rPr>
        <w:t xml:space="preserve"> fraglich.</w:t>
      </w:r>
      <w:r>
        <w:rPr>
          <w:rFonts w:cs="TimesTen-Roman"/>
        </w:rPr>
        <w:t xml:space="preserve"> Unproblematisch ist eine Arbeitsverkürzung dann, wenn sie als „Entschädigung“ für </w:t>
      </w:r>
      <w:r w:rsidR="009833DA" w:rsidRPr="00680A58">
        <w:rPr>
          <w:rFonts w:cs="TimesTen-Roman"/>
        </w:rPr>
        <w:t xml:space="preserve">Produktivitätsfortschritte </w:t>
      </w:r>
      <w:r>
        <w:rPr>
          <w:rFonts w:cs="TimesTen-Roman"/>
        </w:rPr>
        <w:t>(anstelle von Lohnerhöhungen) eingesetzt werden</w:t>
      </w:r>
      <w:r w:rsidR="009833DA" w:rsidRPr="00680A58">
        <w:rPr>
          <w:rFonts w:cs="TimesTen-Roman"/>
        </w:rPr>
        <w:t>.</w:t>
      </w:r>
    </w:p>
    <w:p w:rsidR="00680A58" w:rsidRPr="00680A58" w:rsidRDefault="00680A58" w:rsidP="00680A58">
      <w:pPr>
        <w:pStyle w:val="Listenabsatz"/>
        <w:rPr>
          <w:rFonts w:cs="TimesTen-Bold"/>
          <w:bCs/>
        </w:rPr>
      </w:pPr>
    </w:p>
    <w:p w:rsidR="009833DA" w:rsidRPr="00532F1B" w:rsidRDefault="009833DA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532F1B">
        <w:rPr>
          <w:rFonts w:cs="TimesTen-Roman"/>
        </w:rPr>
        <w:t>Keine Minimallöhne sondern Leistungslöhne, volle Freizügigkeit gegenüber ausländischen</w:t>
      </w:r>
      <w:r w:rsidR="00532F1B">
        <w:rPr>
          <w:rFonts w:cs="TimesTen-Roman"/>
        </w:rPr>
        <w:t xml:space="preserve"> </w:t>
      </w:r>
      <w:r w:rsidRPr="00532F1B">
        <w:rPr>
          <w:rFonts w:cs="TimesTen-Roman"/>
        </w:rPr>
        <w:t>Arbeitskräften, liberale Entlassungsbedingungen.</w:t>
      </w:r>
    </w:p>
    <w:p w:rsidR="00532F1B" w:rsidRPr="00532F1B" w:rsidRDefault="00532F1B" w:rsidP="00532F1B">
      <w:pPr>
        <w:pStyle w:val="Listenabsatz"/>
        <w:rPr>
          <w:rFonts w:cs="TimesTen-Bold"/>
          <w:bCs/>
        </w:rPr>
      </w:pPr>
    </w:p>
    <w:p w:rsidR="009833DA" w:rsidRPr="00CB6625" w:rsidRDefault="009833DA" w:rsidP="0097638C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CB6625">
        <w:rPr>
          <w:rFonts w:cs="TimesTen-Roman"/>
        </w:rPr>
        <w:t xml:space="preserve"> Arbeitsangebot und Arbeitsnachfrage (Knappheit); Arbeitsproduktivität; Marktunvollkommenheiten.</w:t>
      </w:r>
    </w:p>
    <w:p w:rsidR="00CB6625" w:rsidRPr="00CB6625" w:rsidRDefault="00CB6625" w:rsidP="00CB6625">
      <w:pPr>
        <w:pStyle w:val="Listenabsatz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11</w:t>
      </w:r>
    </w:p>
    <w:p w:rsidR="00B9733B" w:rsidRDefault="00B9733B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52632F" w:rsidRDefault="00B9733B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 xml:space="preserve"> Neue Aufgaben;</w:t>
      </w:r>
      <w:r w:rsidR="009833DA" w:rsidRPr="00B9733B">
        <w:rPr>
          <w:rFonts w:cs="TimesTen-Roman"/>
        </w:rPr>
        <w:t xml:space="preserve"> </w:t>
      </w:r>
      <w:proofErr w:type="spellStart"/>
      <w:r w:rsidR="009833DA" w:rsidRPr="00B9733B">
        <w:rPr>
          <w:rFonts w:cs="TimesTen-Roman"/>
        </w:rPr>
        <w:t>grosse</w:t>
      </w:r>
      <w:proofErr w:type="spellEnd"/>
      <w:r w:rsidR="009833DA" w:rsidRPr="00B9733B">
        <w:rPr>
          <w:rFonts w:cs="TimesTen-Roman"/>
        </w:rPr>
        <w:t xml:space="preserve"> Einkommenselastizi</w:t>
      </w:r>
      <w:r>
        <w:rPr>
          <w:rFonts w:cs="TimesTen-Roman"/>
        </w:rPr>
        <w:t xml:space="preserve">tät für öffentliche Leistungen; </w:t>
      </w:r>
      <w:r w:rsidR="009833DA" w:rsidRPr="00B9733B">
        <w:rPr>
          <w:rFonts w:cs="TimesTen-Roman"/>
        </w:rPr>
        <w:t>kleinere</w:t>
      </w:r>
      <w:r>
        <w:rPr>
          <w:rFonts w:cs="TimesTen-Roman"/>
        </w:rPr>
        <w:t xml:space="preserve"> </w:t>
      </w:r>
      <w:r w:rsidR="009833DA" w:rsidRPr="00B9733B">
        <w:rPr>
          <w:rFonts w:cs="TimesTen-Roman"/>
        </w:rPr>
        <w:t>Zunahme der Arbeitsproduktivität (überdurch</w:t>
      </w:r>
      <w:r>
        <w:rPr>
          <w:rFonts w:cs="TimesTen-Roman"/>
        </w:rPr>
        <w:t xml:space="preserve">schnittliche Kostenentwicklung); </w:t>
      </w:r>
      <w:r w:rsidRPr="00B9733B">
        <w:rPr>
          <w:rFonts w:cs="TimesTen-Roman"/>
        </w:rPr>
        <w:t xml:space="preserve">expansives Verhalten </w:t>
      </w:r>
      <w:r>
        <w:rPr>
          <w:rFonts w:cs="TimesTen-Roman"/>
        </w:rPr>
        <w:t>der Verwaltung</w:t>
      </w:r>
      <w:r w:rsidRPr="00B9733B">
        <w:rPr>
          <w:rFonts w:cs="TimesTen-Roman"/>
        </w:rPr>
        <w:t xml:space="preserve"> </w:t>
      </w:r>
      <w:r>
        <w:rPr>
          <w:rFonts w:cs="TimesTen-Roman"/>
        </w:rPr>
        <w:t xml:space="preserve">und </w:t>
      </w:r>
      <w:r w:rsidR="009833DA" w:rsidRPr="00B9733B">
        <w:rPr>
          <w:rFonts w:cs="TimesTen-Roman"/>
        </w:rPr>
        <w:t>Au</w:t>
      </w:r>
      <w:r w:rsidR="0052632F">
        <w:rPr>
          <w:rFonts w:cs="TimesTen-Roman"/>
        </w:rPr>
        <w:t>sgabefreudigkeit der Parlamente</w:t>
      </w:r>
      <w:r w:rsidR="009833DA" w:rsidRPr="00B9733B">
        <w:rPr>
          <w:rFonts w:cs="TimesTen-Roman"/>
        </w:rPr>
        <w:t>.</w:t>
      </w:r>
    </w:p>
    <w:p w:rsidR="0052632F" w:rsidRPr="0052632F" w:rsidRDefault="0052632F" w:rsidP="0052632F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041EE4" w:rsidRDefault="009833DA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52632F">
        <w:rPr>
          <w:rFonts w:cs="TimesTen-Roman"/>
        </w:rPr>
        <w:t>Soziale Wohlfahrt,</w:t>
      </w:r>
      <w:r w:rsidR="0052632F">
        <w:rPr>
          <w:rFonts w:cs="TimesTen-Roman"/>
        </w:rPr>
        <w:t xml:space="preserve"> </w:t>
      </w:r>
      <w:r w:rsidRPr="0052632F">
        <w:rPr>
          <w:rFonts w:cs="TimesTen-Roman"/>
        </w:rPr>
        <w:t xml:space="preserve">Verkehr, </w:t>
      </w:r>
      <w:r w:rsidR="0052632F">
        <w:rPr>
          <w:rFonts w:cs="TimesTen-Roman"/>
        </w:rPr>
        <w:t xml:space="preserve">Bildung und Grundlagenforschung, </w:t>
      </w:r>
      <w:r w:rsidRPr="0052632F">
        <w:rPr>
          <w:rFonts w:cs="TimesTen-Roman"/>
        </w:rPr>
        <w:t>Landesverteidigung, Landwirtschaft und Ernährung.</w:t>
      </w:r>
    </w:p>
    <w:p w:rsidR="00041EE4" w:rsidRPr="00041EE4" w:rsidRDefault="00041EE4" w:rsidP="00041EE4">
      <w:pPr>
        <w:pStyle w:val="Listenabsatz"/>
        <w:rPr>
          <w:rFonts w:cs="TimesTen-Bold"/>
          <w:bCs/>
        </w:rPr>
      </w:pPr>
    </w:p>
    <w:p w:rsidR="009833DA" w:rsidRPr="00041EE4" w:rsidRDefault="009833DA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041EE4">
        <w:rPr>
          <w:rFonts w:cs="TimesTen-Roman"/>
        </w:rPr>
        <w:t xml:space="preserve"> Indirekte Steuern (Mehrwertsteuer, Treibstoffzölle, Stempelabgaben, Einfuhrzölle);</w:t>
      </w:r>
      <w:r w:rsidR="00041EE4">
        <w:rPr>
          <w:rFonts w:cs="TimesTen-Roman"/>
        </w:rPr>
        <w:t xml:space="preserve"> </w:t>
      </w:r>
      <w:r w:rsidRPr="00041EE4">
        <w:rPr>
          <w:rFonts w:cs="TimesTen-Roman"/>
        </w:rPr>
        <w:t>direkte Steuern (auf Einkommen und Vermögen).</w:t>
      </w:r>
    </w:p>
    <w:p w:rsidR="00041EE4" w:rsidRPr="00041EE4" w:rsidRDefault="00041EE4" w:rsidP="00041EE4">
      <w:pPr>
        <w:pStyle w:val="Listenabsatz"/>
        <w:rPr>
          <w:rFonts w:cs="TimesTen-Bold"/>
          <w:bCs/>
        </w:rPr>
      </w:pPr>
    </w:p>
    <w:p w:rsidR="009833DA" w:rsidRPr="00041EE4" w:rsidRDefault="00041EE4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>Starkes Wachstum der Ausgaben</w:t>
      </w:r>
      <w:r w:rsidR="009833DA" w:rsidRPr="00041EE4">
        <w:rPr>
          <w:rFonts w:cs="TimesTen-Roman"/>
        </w:rPr>
        <w:t xml:space="preserve"> für </w:t>
      </w:r>
      <w:r>
        <w:rPr>
          <w:rFonts w:cs="TimesTen-Roman"/>
        </w:rPr>
        <w:t xml:space="preserve">Bildung / Grundlagenforschung und </w:t>
      </w:r>
      <w:r w:rsidR="009833DA" w:rsidRPr="00041EE4">
        <w:rPr>
          <w:rFonts w:cs="TimesTen-Roman"/>
        </w:rPr>
        <w:t>soziale Wohl</w:t>
      </w:r>
      <w:r>
        <w:rPr>
          <w:rFonts w:cs="TimesTen-Roman"/>
        </w:rPr>
        <w:t xml:space="preserve">fahrt. Rückgang der Ausgaben für die Landwirtschaft. Hoher Anteil (60%) der Subventionen an den Gesamtausgaben. </w:t>
      </w:r>
      <w:r w:rsidR="009833DA" w:rsidRPr="00041EE4">
        <w:rPr>
          <w:rFonts w:cs="TimesTen-Roman"/>
        </w:rPr>
        <w:t>Anstieg</w:t>
      </w:r>
      <w:r>
        <w:rPr>
          <w:rFonts w:cs="TimesTen-Roman"/>
        </w:rPr>
        <w:t xml:space="preserve"> </w:t>
      </w:r>
      <w:r w:rsidR="009833DA" w:rsidRPr="00041EE4">
        <w:rPr>
          <w:rFonts w:cs="TimesTen-Roman"/>
        </w:rPr>
        <w:t>der Zinslast,</w:t>
      </w:r>
      <w:r w:rsidRPr="00041EE4">
        <w:rPr>
          <w:rFonts w:cs="TimesTen-Roman"/>
        </w:rPr>
        <w:t xml:space="preserve"> </w:t>
      </w:r>
      <w:r w:rsidR="009833DA" w:rsidRPr="00041EE4">
        <w:rPr>
          <w:rFonts w:cs="TimesTen-Roman"/>
        </w:rPr>
        <w:t>Wach</w:t>
      </w:r>
      <w:r>
        <w:rPr>
          <w:rFonts w:cs="TimesTen-Roman"/>
        </w:rPr>
        <w:t xml:space="preserve">stum </w:t>
      </w:r>
      <w:r w:rsidR="009833DA" w:rsidRPr="00041EE4">
        <w:rPr>
          <w:rFonts w:cs="TimesTen-Roman"/>
        </w:rPr>
        <w:t>der Subventio</w:t>
      </w:r>
      <w:r>
        <w:rPr>
          <w:rFonts w:cs="TimesTen-Roman"/>
        </w:rPr>
        <w:t>nen.</w:t>
      </w:r>
      <w:r w:rsidR="009833DA" w:rsidRPr="00041EE4">
        <w:rPr>
          <w:rFonts w:cs="TimesTen-Roman"/>
        </w:rPr>
        <w:t xml:space="preserve"> Haushaltssaldo und Verschuldung: Starker Anstieg der Defizite und der Verschuldung</w:t>
      </w:r>
      <w:r w:rsidRPr="00041EE4">
        <w:rPr>
          <w:rFonts w:cs="TimesTen-Roman"/>
        </w:rPr>
        <w:t xml:space="preserve"> </w:t>
      </w:r>
      <w:r w:rsidR="009833DA" w:rsidRPr="00041EE4">
        <w:rPr>
          <w:rFonts w:cs="TimesTen-Roman"/>
        </w:rPr>
        <w:t xml:space="preserve">in den 1990er Jahren; </w:t>
      </w:r>
      <w:r>
        <w:rPr>
          <w:rFonts w:cs="TimesTen-Roman"/>
        </w:rPr>
        <w:t xml:space="preserve">von </w:t>
      </w:r>
      <w:r>
        <w:rPr>
          <w:rFonts w:cs="TimesTen-Roman"/>
        </w:rPr>
        <w:lastRenderedPageBreak/>
        <w:t>2005 bis 2009 erzielt die öffentliche Hand Überschüsse. 2004 erreichten die Schulden ihren Höchststand, seither (bis 2009) sinken die Schulden. Im internationalen Verg</w:t>
      </w:r>
      <w:r w:rsidR="006D739E">
        <w:rPr>
          <w:rFonts w:cs="TimesTen-Roman"/>
        </w:rPr>
        <w:t>leich sehr gute Entwicklung.</w:t>
      </w:r>
    </w:p>
    <w:p w:rsidR="00041EE4" w:rsidRPr="00041EE4" w:rsidRDefault="00041EE4" w:rsidP="00041EE4">
      <w:pPr>
        <w:pStyle w:val="Listenabsatz"/>
        <w:rPr>
          <w:rFonts w:cs="TimesTen-Bold"/>
          <w:bCs/>
        </w:rPr>
      </w:pPr>
    </w:p>
    <w:p w:rsidR="009833DA" w:rsidRPr="006D739E" w:rsidRDefault="009833DA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6D739E">
        <w:rPr>
          <w:rFonts w:cs="TimesTen-Roman"/>
        </w:rPr>
        <w:t>Zinsanstieg, Inflationsanstieg,</w:t>
      </w:r>
      <w:r w:rsidR="006D739E">
        <w:rPr>
          <w:rFonts w:cs="TimesTen-Roman"/>
        </w:rPr>
        <w:t xml:space="preserve"> </w:t>
      </w:r>
      <w:r w:rsidRPr="006D739E">
        <w:rPr>
          <w:rFonts w:cs="TimesTen-Roman"/>
        </w:rPr>
        <w:t>Verdrängungseffekt (</w:t>
      </w:r>
      <w:proofErr w:type="spellStart"/>
      <w:r w:rsidRPr="006D739E">
        <w:rPr>
          <w:rFonts w:cs="TimesTen-Roman"/>
        </w:rPr>
        <w:t>crowding</w:t>
      </w:r>
      <w:proofErr w:type="spellEnd"/>
      <w:r w:rsidRPr="006D739E">
        <w:rPr>
          <w:rFonts w:cs="TimesTen-Roman"/>
        </w:rPr>
        <w:t>-out), Schmälerung des</w:t>
      </w:r>
      <w:r w:rsidR="006D739E">
        <w:rPr>
          <w:rFonts w:cs="TimesTen-Roman"/>
        </w:rPr>
        <w:t xml:space="preserve"> </w:t>
      </w:r>
      <w:r w:rsidRPr="006D739E">
        <w:rPr>
          <w:rFonts w:cs="TimesTen-Roman"/>
        </w:rPr>
        <w:t>Handlungsspielraumes,</w:t>
      </w:r>
      <w:r w:rsidR="006D739E">
        <w:rPr>
          <w:rFonts w:cs="TimesTen-Roman"/>
        </w:rPr>
        <w:t xml:space="preserve"> </w:t>
      </w:r>
      <w:r w:rsidRPr="006D739E">
        <w:rPr>
          <w:rFonts w:cs="TimesTen-Roman"/>
        </w:rPr>
        <w:t>Teufelskreis der Verschuldung.</w:t>
      </w:r>
    </w:p>
    <w:p w:rsidR="006D739E" w:rsidRPr="006D739E" w:rsidRDefault="006D739E" w:rsidP="006D739E">
      <w:pPr>
        <w:pStyle w:val="Listenabsatz"/>
        <w:rPr>
          <w:rFonts w:cs="TimesTen-Bold"/>
          <w:bCs/>
        </w:rPr>
      </w:pPr>
    </w:p>
    <w:p w:rsidR="009833DA" w:rsidRPr="00812DE8" w:rsidRDefault="009833DA" w:rsidP="0097638C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12DE8">
        <w:rPr>
          <w:rFonts w:cs="TimesTen-Roman"/>
        </w:rPr>
        <w:t>Goldene Finanzierungsregel: Budgetdefizite dürfen die Höhe der Staatsinvestitionen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nicht übersteigen</w:t>
      </w:r>
      <w:r w:rsidR="00812DE8">
        <w:rPr>
          <w:rFonts w:cs="TimesTen-Roman"/>
        </w:rPr>
        <w:t xml:space="preserve">. </w:t>
      </w:r>
      <w:r w:rsidRPr="00812DE8">
        <w:rPr>
          <w:rFonts w:cs="TimesTen-Roman"/>
        </w:rPr>
        <w:t>Langfristig konstante Schuldenquote (ausgeglichener Primärhaushalt)</w:t>
      </w:r>
      <w:r w:rsidR="00812DE8">
        <w:rPr>
          <w:rFonts w:cs="TimesTen-Roman"/>
        </w:rPr>
        <w:t xml:space="preserve">. </w:t>
      </w:r>
      <w:r w:rsidRPr="00812DE8">
        <w:rPr>
          <w:rFonts w:cs="TimesTen-Roman"/>
        </w:rPr>
        <w:t>Ausgaben sollen im Gleichschritt mit dem Wirtschaftswachstum zunehmen.</w:t>
      </w:r>
    </w:p>
    <w:p w:rsidR="00812DE8" w:rsidRPr="00812DE8" w:rsidRDefault="00812DE8" w:rsidP="00812DE8">
      <w:pPr>
        <w:pStyle w:val="Listenabsatz"/>
        <w:rPr>
          <w:rFonts w:cs="TimesTen-Bold"/>
          <w:bCs/>
        </w:rPr>
      </w:pPr>
    </w:p>
    <w:p w:rsidR="00812DE8" w:rsidRP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12</w:t>
      </w:r>
    </w:p>
    <w:p w:rsidR="00812DE8" w:rsidRDefault="00812DE8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812DE8" w:rsidRDefault="009833DA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12DE8">
        <w:rPr>
          <w:rFonts w:cs="TimesTen-Roman"/>
        </w:rPr>
        <w:t xml:space="preserve">Alters- und Hinterlassenenversicherung, </w:t>
      </w:r>
      <w:r w:rsidR="00812DE8">
        <w:rPr>
          <w:rFonts w:cs="TimesTen-Roman"/>
        </w:rPr>
        <w:t>b</w:t>
      </w:r>
      <w:r w:rsidRPr="00812DE8">
        <w:rPr>
          <w:rFonts w:cs="TimesTen-Roman"/>
        </w:rPr>
        <w:t>erufliche Vorsorge (Pensionskasse), Invalidenversicherung,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Erwerbsersatzordnung, Unfallversicherung, Krankenversicherung,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Arbeitslosenversicherung, Familienzulagen.</w:t>
      </w:r>
    </w:p>
    <w:p w:rsidR="00812DE8" w:rsidRP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812DE8" w:rsidRDefault="009833DA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12DE8">
        <w:rPr>
          <w:rFonts w:cs="TimesTen-Roman"/>
        </w:rPr>
        <w:t>Berufliche Vorsorge, AHV und Krankenversicherung.</w:t>
      </w:r>
    </w:p>
    <w:p w:rsidR="00812DE8" w:rsidRPr="00812DE8" w:rsidRDefault="00812DE8" w:rsidP="00812DE8">
      <w:pPr>
        <w:pStyle w:val="Listenabsatz"/>
        <w:rPr>
          <w:rFonts w:cs="TimesTen-Bold"/>
          <w:bCs/>
        </w:rPr>
      </w:pPr>
    </w:p>
    <w:p w:rsidR="009833DA" w:rsidRPr="00812DE8" w:rsidRDefault="009833DA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12DE8">
        <w:rPr>
          <w:rFonts w:cs="TimesTen-Roman"/>
        </w:rPr>
        <w:t>Soziale Sicherheit, Risikoausgleich und Einkommensumverteilungen.</w:t>
      </w:r>
    </w:p>
    <w:p w:rsidR="00812DE8" w:rsidRPr="00812DE8" w:rsidRDefault="00812DE8" w:rsidP="00812DE8">
      <w:pPr>
        <w:pStyle w:val="Listenabsatz"/>
        <w:rPr>
          <w:rFonts w:cs="TimesTen-Bold"/>
          <w:bCs/>
        </w:rPr>
      </w:pPr>
    </w:p>
    <w:p w:rsidR="009833DA" w:rsidRPr="00812DE8" w:rsidRDefault="00812DE8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>AHV, IV, Krankenversicherung, Arbeitslosenversicherung, BVG</w:t>
      </w:r>
    </w:p>
    <w:p w:rsidR="00812DE8" w:rsidRPr="00812DE8" w:rsidRDefault="00812DE8" w:rsidP="00812DE8">
      <w:pPr>
        <w:pStyle w:val="Listenabsatz"/>
        <w:rPr>
          <w:rFonts w:cs="TimesTen-Bold"/>
          <w:bCs/>
        </w:rPr>
      </w:pPr>
    </w:p>
    <w:p w:rsidR="009833DA" w:rsidRPr="00812DE8" w:rsidRDefault="00812DE8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 xml:space="preserve">Moral </w:t>
      </w:r>
      <w:proofErr w:type="spellStart"/>
      <w:r>
        <w:rPr>
          <w:rFonts w:cs="TimesTen-Roman"/>
        </w:rPr>
        <w:t>hazard</w:t>
      </w:r>
      <w:proofErr w:type="spellEnd"/>
      <w:r>
        <w:rPr>
          <w:rFonts w:cs="TimesTen-Roman"/>
        </w:rPr>
        <w:t xml:space="preserve"> Problem; Effizienzverluste; Interessenkonflikte;</w:t>
      </w:r>
      <w:r w:rsidR="009833DA" w:rsidRPr="00812DE8">
        <w:rPr>
          <w:rFonts w:cs="TimesTen-Roman"/>
        </w:rPr>
        <w:t xml:space="preserve"> Leistungsbereitschaft</w:t>
      </w:r>
      <w:r>
        <w:rPr>
          <w:rFonts w:cs="TimesTen-Roman"/>
        </w:rPr>
        <w:t xml:space="preserve"> </w:t>
      </w:r>
      <w:r w:rsidR="009833DA" w:rsidRPr="00812DE8">
        <w:rPr>
          <w:rFonts w:cs="TimesTen-Roman"/>
        </w:rPr>
        <w:t>und Inves</w:t>
      </w:r>
      <w:r>
        <w:rPr>
          <w:rFonts w:cs="TimesTen-Roman"/>
        </w:rPr>
        <w:t>titionsbereitschaft gefährdet;</w:t>
      </w:r>
      <w:r w:rsidR="009833DA" w:rsidRPr="00812DE8">
        <w:rPr>
          <w:rFonts w:cs="TimesTen-Roman"/>
        </w:rPr>
        <w:t xml:space="preserve"> Solidarität überstrapaziert.</w:t>
      </w:r>
    </w:p>
    <w:p w:rsidR="00812DE8" w:rsidRPr="00812DE8" w:rsidRDefault="00812DE8" w:rsidP="00812DE8">
      <w:pPr>
        <w:pStyle w:val="Listenabsatz"/>
        <w:rPr>
          <w:rFonts w:cs="TimesTen-Bold"/>
          <w:bCs/>
        </w:rPr>
      </w:pPr>
    </w:p>
    <w:p w:rsidR="00812DE8" w:rsidRDefault="00812DE8" w:rsidP="0097638C">
      <w:pPr>
        <w:pStyle w:val="Listenabsatz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9833DA" w:rsidP="0097638C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9833DA">
        <w:rPr>
          <w:rFonts w:cs="TimesTen-Roman"/>
        </w:rPr>
        <w:t>Auf der Leistungsseite</w:t>
      </w:r>
      <w:r w:rsidR="00812DE8">
        <w:rPr>
          <w:rFonts w:cs="TimesTen-Roman"/>
        </w:rPr>
        <w:t>: AHV (</w:t>
      </w:r>
      <w:r w:rsidRPr="009833DA">
        <w:rPr>
          <w:rFonts w:cs="TimesTen-Roman"/>
        </w:rPr>
        <w:t>Einheitsrente, Flexibilisierung oder Erhöhung Rentenalter, Pri</w:t>
      </w:r>
      <w:r w:rsidR="00812DE8">
        <w:rPr>
          <w:rFonts w:cs="TimesTen-Roman"/>
        </w:rPr>
        <w:t xml:space="preserve">vatisierung); </w:t>
      </w:r>
      <w:r w:rsidRPr="009833DA">
        <w:rPr>
          <w:rFonts w:cs="TimesTen-Roman"/>
        </w:rPr>
        <w:t>2. Säule:</w:t>
      </w:r>
      <w:r w:rsidR="00812DE8">
        <w:rPr>
          <w:rFonts w:cs="TimesTen-Roman"/>
        </w:rPr>
        <w:t xml:space="preserve"> </w:t>
      </w:r>
      <w:r w:rsidRPr="009833DA">
        <w:rPr>
          <w:rFonts w:cs="TimesTen-Roman"/>
        </w:rPr>
        <w:t>A</w:t>
      </w:r>
      <w:r w:rsidR="00812DE8">
        <w:rPr>
          <w:rFonts w:cs="TimesTen-Roman"/>
        </w:rPr>
        <w:t xml:space="preserve">ufhebung des </w:t>
      </w:r>
      <w:r w:rsidRPr="009833DA">
        <w:rPr>
          <w:rFonts w:cs="TimesTen-Roman"/>
        </w:rPr>
        <w:t>Obligatorium</w:t>
      </w:r>
      <w:r w:rsidR="00812DE8">
        <w:rPr>
          <w:rFonts w:cs="TimesTen-Roman"/>
        </w:rPr>
        <w:t xml:space="preserve">s; </w:t>
      </w:r>
      <w:proofErr w:type="spellStart"/>
      <w:r w:rsidR="00812DE8">
        <w:rPr>
          <w:rFonts w:cs="TimesTen-Roman"/>
        </w:rPr>
        <w:t>AlV</w:t>
      </w:r>
      <w:proofErr w:type="spellEnd"/>
      <w:r w:rsidR="00812DE8">
        <w:rPr>
          <w:rFonts w:cs="TimesTen-Roman"/>
        </w:rPr>
        <w:t>: Privatisierung; n</w:t>
      </w:r>
      <w:r w:rsidRPr="009833DA">
        <w:rPr>
          <w:rFonts w:cs="TimesTen-Roman"/>
        </w:rPr>
        <w:t>ur noch Existenzminimum obligatorisch versichern, den Rest der Selbstverantwortung</w:t>
      </w:r>
      <w:r w:rsidR="00812DE8">
        <w:rPr>
          <w:rFonts w:cs="TimesTen-Roman"/>
        </w:rPr>
        <w:t xml:space="preserve"> </w:t>
      </w:r>
      <w:r w:rsidRPr="009833DA">
        <w:rPr>
          <w:rFonts w:cs="TimesTen-Roman"/>
        </w:rPr>
        <w:t>überlas</w:t>
      </w:r>
      <w:r w:rsidR="00812DE8">
        <w:rPr>
          <w:rFonts w:cs="TimesTen-Roman"/>
        </w:rPr>
        <w:t>sen; n</w:t>
      </w:r>
      <w:r w:rsidRPr="009833DA">
        <w:rPr>
          <w:rFonts w:cs="TimesTen-Roman"/>
        </w:rPr>
        <w:t>e</w:t>
      </w:r>
      <w:r w:rsidR="00812DE8">
        <w:rPr>
          <w:rFonts w:cs="TimesTen-Roman"/>
        </w:rPr>
        <w:t>gative Einkommenssteuer; Grundeinkommen für alle.</w:t>
      </w:r>
    </w:p>
    <w:p w:rsidR="009833DA" w:rsidRPr="00812DE8" w:rsidRDefault="009833DA" w:rsidP="0097638C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812DE8">
        <w:rPr>
          <w:rFonts w:cs="TimesTen-Roman"/>
        </w:rPr>
        <w:t xml:space="preserve"> Auf der Finanzierungsseite</w:t>
      </w:r>
      <w:r w:rsidR="00812DE8">
        <w:rPr>
          <w:rFonts w:cs="TimesTen-Roman"/>
        </w:rPr>
        <w:t xml:space="preserve">: </w:t>
      </w:r>
      <w:r w:rsidRPr="00812DE8">
        <w:rPr>
          <w:rFonts w:cs="TimesTen-Roman"/>
        </w:rPr>
        <w:t>Umlageverfahren durch Kapitaldeckungsverfahren ablösen.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Vermehrte Finanzierung über Mehrwert- oder Einkommenssteuern statt über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Lohnprozente.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Finanzierung über Umweltabgaben.</w:t>
      </w:r>
      <w:r w:rsidR="00812DE8">
        <w:rPr>
          <w:rFonts w:cs="TimesTen-Roman"/>
        </w:rPr>
        <w:t xml:space="preserve"> </w:t>
      </w:r>
      <w:r w:rsidRPr="00812DE8">
        <w:rPr>
          <w:rFonts w:cs="TimesTen-Roman"/>
        </w:rPr>
        <w:t>Negative Einkommenssteuer.</w:t>
      </w:r>
      <w:r w:rsidR="00DC77A7">
        <w:rPr>
          <w:rFonts w:cs="TimesTen-Roman"/>
        </w:rPr>
        <w:t xml:space="preserve"> Grundeinkommen für alle.</w:t>
      </w:r>
    </w:p>
    <w:p w:rsid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Roman"/>
        </w:rPr>
      </w:pPr>
    </w:p>
    <w:p w:rsidR="00812DE8" w:rsidRPr="00812DE8" w:rsidRDefault="00812DE8" w:rsidP="00812DE8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Default="009833D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 w:rsidRPr="009833DA">
        <w:rPr>
          <w:rFonts w:cs="TimesTen-Bold"/>
          <w:b/>
          <w:bCs/>
        </w:rPr>
        <w:t>Kapitel 13</w:t>
      </w:r>
    </w:p>
    <w:p w:rsidR="0038088B" w:rsidRDefault="0038088B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9833DA" w:rsidRPr="0038088B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>Arbeitsteilung: Jeder spezialisiert sich auf die Tätigkeit, bei welcher er komparative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Kostenvorteile hat.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Auch wenn jemand in allen Tätigkeiten unterlegen ist, lohnt sich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die Arbeitsteilung, indem er eben das macht, wo sein Nachteil relativ klein ist. Dieses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Gesetz ist die Grundlage für das Freihandelspostulat.</w:t>
      </w:r>
    </w:p>
    <w:p w:rsidR="0038088B" w:rsidRPr="0038088B" w:rsidRDefault="0038088B" w:rsidP="0038088B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Pr="0038088B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 xml:space="preserve"> Umweltkosten, Abhängigkeit (Gefahr von Monokulturen), strukturelle Arbeitslosigkeit,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statischer Ansatz des Gesetzes der komparativen Kostenvorteile.</w:t>
      </w:r>
    </w:p>
    <w:p w:rsidR="0038088B" w:rsidRPr="0038088B" w:rsidRDefault="0038088B" w:rsidP="0038088B">
      <w:pPr>
        <w:pStyle w:val="Listenabsatz"/>
        <w:rPr>
          <w:rFonts w:cs="TimesTen-Bold"/>
          <w:bCs/>
        </w:rPr>
      </w:pPr>
    </w:p>
    <w:p w:rsidR="009833DA" w:rsidRPr="0038088B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 xml:space="preserve">Zölle und Kontingente, Nicht-tarifäre </w:t>
      </w:r>
      <w:proofErr w:type="spellStart"/>
      <w:r w:rsidRPr="0038088B">
        <w:rPr>
          <w:rFonts w:cs="TimesTen-Roman"/>
        </w:rPr>
        <w:t>Massnahmen</w:t>
      </w:r>
      <w:proofErr w:type="spellEnd"/>
      <w:r w:rsidRPr="0038088B">
        <w:rPr>
          <w:rFonts w:cs="TimesTen-Roman"/>
        </w:rPr>
        <w:t xml:space="preserve"> (Normen bezüglich Sicherheit,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Umweltschutz, Technik etc.), Einfuhrabgaben, Exportsubventionen, internationale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 xml:space="preserve">Kartelle, freiwillige </w:t>
      </w:r>
      <w:proofErr w:type="spellStart"/>
      <w:r w:rsidRPr="0038088B">
        <w:rPr>
          <w:rFonts w:cs="TimesTen-Roman"/>
        </w:rPr>
        <w:t>Selbstbeschränkungsmassnahmen</w:t>
      </w:r>
      <w:proofErr w:type="spellEnd"/>
      <w:r w:rsidRPr="0038088B">
        <w:rPr>
          <w:rFonts w:cs="TimesTen-Roman"/>
        </w:rPr>
        <w:t>.</w:t>
      </w:r>
    </w:p>
    <w:p w:rsidR="0038088B" w:rsidRPr="0038088B" w:rsidRDefault="0038088B" w:rsidP="0038088B">
      <w:pPr>
        <w:pStyle w:val="Listenabsatz"/>
        <w:rPr>
          <w:rFonts w:cs="TimesTen-Bold"/>
          <w:bCs/>
        </w:rPr>
      </w:pPr>
    </w:p>
    <w:p w:rsidR="0038088B" w:rsidRDefault="0038088B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9833DA" w:rsidP="0097638C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9833DA">
        <w:rPr>
          <w:rFonts w:cs="TimesTen-Roman"/>
        </w:rPr>
        <w:t xml:space="preserve">Wohlstandsgewinne durch Handelsliberalisierungen, Spezialisierungs- und </w:t>
      </w:r>
      <w:proofErr w:type="spellStart"/>
      <w:r w:rsidRPr="009833DA">
        <w:rPr>
          <w:rFonts w:cs="TimesTen-Roman"/>
        </w:rPr>
        <w:t>Grösse</w:t>
      </w:r>
      <w:r w:rsidR="0038088B">
        <w:rPr>
          <w:rFonts w:cs="TimesTen-Roman"/>
        </w:rPr>
        <w:t>n</w:t>
      </w:r>
      <w:r w:rsidRPr="009833DA">
        <w:rPr>
          <w:rFonts w:cs="TimesTen-Roman"/>
        </w:rPr>
        <w:t>vorteile</w:t>
      </w:r>
      <w:proofErr w:type="spellEnd"/>
      <w:r w:rsidRPr="009833DA">
        <w:rPr>
          <w:rFonts w:cs="TimesTen-Roman"/>
        </w:rPr>
        <w:t>.</w:t>
      </w:r>
    </w:p>
    <w:p w:rsidR="009833DA" w:rsidRPr="0038088B" w:rsidRDefault="009833DA" w:rsidP="0097638C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>Meistbegünstigungsklausel, Inländerprinzip,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 xml:space="preserve">Verbot </w:t>
      </w:r>
      <w:proofErr w:type="spellStart"/>
      <w:r w:rsidRPr="0038088B">
        <w:rPr>
          <w:rFonts w:cs="TimesTen-Roman"/>
        </w:rPr>
        <w:t>mengenmässiger</w:t>
      </w:r>
      <w:proofErr w:type="spellEnd"/>
      <w:r w:rsidRPr="0038088B">
        <w:rPr>
          <w:rFonts w:cs="TimesTen-Roman"/>
        </w:rPr>
        <w:t xml:space="preserve"> Handelsbeschränkungen,</w:t>
      </w:r>
      <w:r w:rsidR="0038088B">
        <w:rPr>
          <w:rFonts w:cs="TimesTen-Roman"/>
        </w:rPr>
        <w:t xml:space="preserve"> V</w:t>
      </w:r>
      <w:r w:rsidRPr="0038088B">
        <w:rPr>
          <w:rFonts w:cs="TimesTen-Roman"/>
        </w:rPr>
        <w:t>erbesserungen des Marktzutritts, Abbau der nicht-tarifären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Handelshemmnisse.</w:t>
      </w:r>
    </w:p>
    <w:p w:rsidR="0038088B" w:rsidRDefault="0038088B" w:rsidP="0038088B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38088B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>Erleichterung des Marktzutrittes durch globalen Zollabbau, Reform der Welthandelsregeln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(Abbau von Subventionen,</w:t>
      </w:r>
      <w:r w:rsidR="00D3344E">
        <w:rPr>
          <w:rFonts w:cs="TimesTen-Roman"/>
        </w:rPr>
        <w:t xml:space="preserve"> </w:t>
      </w:r>
      <w:r w:rsidRPr="0038088B">
        <w:rPr>
          <w:rFonts w:cs="TimesTen-Roman"/>
        </w:rPr>
        <w:t>Verbot von gewissen technischen Handelshemmnissen,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Liberalisierung des öffentlichen Beschaffungswesens), Einbezug der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Landwirtschaft in die Liberalisierungen, Neue Verhandlungsgegenstände (Direktinvestitionen,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Eigentumsrechte, Dienstleistungen), Streitschlichtungsverfahren und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Errichtung einer Welthandelsorganisation (WTO als Dachorganisation für GATT,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GATS und TRIPS).</w:t>
      </w:r>
    </w:p>
    <w:p w:rsidR="0038088B" w:rsidRPr="0038088B" w:rsidRDefault="0038088B" w:rsidP="0038088B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Pr="0038088B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8088B">
        <w:rPr>
          <w:rFonts w:cs="TimesTen-Roman"/>
        </w:rPr>
        <w:t>Europäische Gemeinschaft für Kohle und Stahl (1951), Europäische Wirtschaftsgemeinschaft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(EWG 1957), Europäische Gemeinschaft (EG 1967), Europa der</w:t>
      </w:r>
      <w:r w:rsidR="00D3344E">
        <w:rPr>
          <w:rFonts w:cs="TimesTen-Roman"/>
        </w:rPr>
        <w:t xml:space="preserve"> </w:t>
      </w:r>
      <w:r w:rsidRPr="0038088B">
        <w:rPr>
          <w:rFonts w:cs="TimesTen-Roman"/>
        </w:rPr>
        <w:t>zwölf (1986), Maastrichter Verträge (1992), Maastrichter Verträge treten in Kraft,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Binnenmarkt wird Wirklichkeit (EG wird zur Europäischen Union EU, 1993/1994),Europa der 15 (1995), Start zur Währungsunion (1999), Einführung EURO als</w:t>
      </w:r>
      <w:r w:rsidR="0038088B">
        <w:rPr>
          <w:rFonts w:cs="TimesTen-Roman"/>
        </w:rPr>
        <w:t xml:space="preserve"> </w:t>
      </w:r>
      <w:r w:rsidRPr="0038088B">
        <w:rPr>
          <w:rFonts w:cs="TimesTen-Roman"/>
        </w:rPr>
        <w:t>Bargeld (2002).</w:t>
      </w:r>
      <w:r w:rsidR="0038088B">
        <w:rPr>
          <w:rFonts w:cs="TimesTen-Roman"/>
        </w:rPr>
        <w:t xml:space="preserve"> Anwachsen der Mitgliederzahl bis 2009 auf 27 Länder. 2009 treten Lissaboner-Verträge in Kraft.</w:t>
      </w:r>
    </w:p>
    <w:p w:rsidR="0038088B" w:rsidRPr="0038088B" w:rsidRDefault="0038088B" w:rsidP="0038088B">
      <w:pPr>
        <w:pStyle w:val="Listenabsatz"/>
        <w:rPr>
          <w:rFonts w:cs="TimesTen-Bold"/>
          <w:bCs/>
        </w:rPr>
      </w:pPr>
    </w:p>
    <w:p w:rsidR="009833DA" w:rsidRPr="00B07287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B07287">
        <w:rPr>
          <w:rFonts w:cs="TimesTen-Roman"/>
        </w:rPr>
        <w:t>Güter-, Kapital-, Dienstleistungs- und Personenverkehr.</w:t>
      </w:r>
    </w:p>
    <w:p w:rsidR="00B07287" w:rsidRPr="00B07287" w:rsidRDefault="00B07287" w:rsidP="00B07287">
      <w:pPr>
        <w:pStyle w:val="Listenabsatz"/>
        <w:rPr>
          <w:rFonts w:cs="TimesTen-Bold"/>
          <w:bCs/>
        </w:rPr>
      </w:pPr>
    </w:p>
    <w:p w:rsidR="009833DA" w:rsidRPr="00B07287" w:rsidRDefault="009833DA" w:rsidP="0097638C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B07287">
        <w:rPr>
          <w:rFonts w:cs="TimesTen-Roman"/>
        </w:rPr>
        <w:t>EFTA (1960), Freihandelsabkommen mit der EG (1973), Ablehnung des EWR</w:t>
      </w:r>
      <w:r w:rsidR="00D3344E">
        <w:rPr>
          <w:rFonts w:cs="TimesTen-Roman"/>
        </w:rPr>
        <w:t>-</w:t>
      </w:r>
      <w:r w:rsidRPr="00B07287">
        <w:rPr>
          <w:rFonts w:cs="TimesTen-Roman"/>
        </w:rPr>
        <w:t>Vertrages</w:t>
      </w:r>
      <w:r w:rsidR="00B07287">
        <w:rPr>
          <w:rFonts w:cs="TimesTen-Roman"/>
        </w:rPr>
        <w:t xml:space="preserve"> </w:t>
      </w:r>
      <w:r w:rsidRPr="00B07287">
        <w:rPr>
          <w:rFonts w:cs="TimesTen-Roman"/>
        </w:rPr>
        <w:t>(1992), Abschluss der bilateralen Verhandlungen (2000), Start zu neuer</w:t>
      </w:r>
      <w:r w:rsidR="00B07287">
        <w:rPr>
          <w:rFonts w:cs="TimesTen-Roman"/>
        </w:rPr>
        <w:t xml:space="preserve"> </w:t>
      </w:r>
      <w:r w:rsidRPr="00B07287">
        <w:rPr>
          <w:rFonts w:cs="TimesTen-Roman"/>
        </w:rPr>
        <w:t>Verhandlungsrunde (2001), Inkrafttreten der bilateralen Verträge (Sommer 2002).</w:t>
      </w:r>
      <w:r w:rsidR="00B07287">
        <w:rPr>
          <w:rFonts w:cs="TimesTen-Roman"/>
        </w:rPr>
        <w:t xml:space="preserve"> Erweiterung der Personenfreizügigkeit (2009).</w:t>
      </w:r>
    </w:p>
    <w:p w:rsidR="00B07287" w:rsidRPr="00B07287" w:rsidRDefault="00B07287" w:rsidP="00B07287">
      <w:pPr>
        <w:pStyle w:val="Listenabsatz"/>
        <w:rPr>
          <w:rFonts w:cs="TimesTen-Bold"/>
          <w:bCs/>
        </w:rPr>
      </w:pPr>
    </w:p>
    <w:p w:rsidR="00B07287" w:rsidRPr="00B07287" w:rsidRDefault="00B07287" w:rsidP="00B07287">
      <w:pPr>
        <w:pStyle w:val="Listenabsatz"/>
        <w:autoSpaceDE w:val="0"/>
        <w:autoSpaceDN w:val="0"/>
        <w:adjustRightInd w:val="0"/>
        <w:spacing w:after="0" w:line="240" w:lineRule="auto"/>
        <w:ind w:left="1080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14</w:t>
      </w:r>
    </w:p>
    <w:p w:rsidR="00F870FA" w:rsidRDefault="00F870FA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F870FA" w:rsidRDefault="00F870FA" w:rsidP="0097638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9833DA" w:rsidP="0097638C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 w:rsidRPr="009833DA">
        <w:rPr>
          <w:rFonts w:cs="TimesTen-Roman"/>
        </w:rPr>
        <w:t>Sie erfasst die Transaktionen der Inländer mit dem «Rest der Welt».</w:t>
      </w:r>
    </w:p>
    <w:p w:rsidR="009833DA" w:rsidRPr="00F870FA" w:rsidRDefault="009833DA" w:rsidP="0097638C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F870FA">
        <w:rPr>
          <w:rFonts w:cs="TimesTen-Roman"/>
        </w:rPr>
        <w:t>Kein guter Begriff, weil es sich erstens nicht um eine Bilanz handelt (es werden</w:t>
      </w:r>
      <w:r w:rsidR="00F870FA">
        <w:rPr>
          <w:rFonts w:cs="TimesTen-Roman"/>
        </w:rPr>
        <w:t xml:space="preserve"> </w:t>
      </w:r>
      <w:r w:rsidRPr="00F870FA">
        <w:rPr>
          <w:rFonts w:cs="TimesTen-Roman"/>
        </w:rPr>
        <w:t xml:space="preserve">nicht Bestandes-, sondern </w:t>
      </w:r>
      <w:proofErr w:type="spellStart"/>
      <w:r w:rsidRPr="00F870FA">
        <w:rPr>
          <w:rFonts w:cs="TimesTen-Roman"/>
        </w:rPr>
        <w:t>Flussgrössen</w:t>
      </w:r>
      <w:proofErr w:type="spellEnd"/>
      <w:r w:rsidRPr="00F870FA">
        <w:rPr>
          <w:rFonts w:cs="TimesTen-Roman"/>
        </w:rPr>
        <w:t xml:space="preserve"> erfasst) und zweitens werden nicht nur</w:t>
      </w:r>
      <w:r w:rsidR="00F870FA">
        <w:rPr>
          <w:rFonts w:cs="TimesTen-Roman"/>
        </w:rPr>
        <w:t xml:space="preserve"> </w:t>
      </w:r>
      <w:r w:rsidRPr="00F870FA">
        <w:rPr>
          <w:rFonts w:cs="TimesTen-Roman"/>
        </w:rPr>
        <w:t>Zahlungen, sondern z.B. auch Kreditgewährungen erfasst.</w:t>
      </w:r>
    </w:p>
    <w:p w:rsidR="009833DA" w:rsidRPr="003730AA" w:rsidRDefault="009833DA" w:rsidP="0097638C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 xml:space="preserve">Ein Defizit in der </w:t>
      </w:r>
      <w:r w:rsidR="003730AA">
        <w:rPr>
          <w:rFonts w:cs="TimesTen-Roman"/>
        </w:rPr>
        <w:t>Leistung</w:t>
      </w:r>
      <w:r w:rsidRPr="003730AA">
        <w:rPr>
          <w:rFonts w:cs="TimesTen-Roman"/>
        </w:rPr>
        <w:t>sbilanz bedeutet, dass im Handel mit dem Ausland mehr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ausgegeben als eingenommen wird. Deshalb muss die Kapitalverkehrsbilanz einen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Überschuss ausweisen, d.h. es muss mehr Kapital importiert als exportiert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werden, wodurch die Verschuldung im Ausland steigt.</w:t>
      </w:r>
    </w:p>
    <w:p w:rsidR="003730AA" w:rsidRDefault="003730AA" w:rsidP="003730AA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3730AA" w:rsidRDefault="003730AA" w:rsidP="0097638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3730AA" w:rsidRDefault="009833DA" w:rsidP="0097638C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>Handelsbilanz, Dienstleistungsbilanz, Bilanz der Arbeits- und Kapitaleinkommen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und die Bilanz der laufenden Übertragungen.</w:t>
      </w:r>
    </w:p>
    <w:p w:rsidR="009833DA" w:rsidRPr="003730AA" w:rsidRDefault="003730AA" w:rsidP="0097638C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>Normalerweise weist d</w:t>
      </w:r>
      <w:r w:rsidR="009833DA" w:rsidRPr="003730AA">
        <w:rPr>
          <w:rFonts w:cs="TimesTen-Roman"/>
        </w:rPr>
        <w:t>ie</w:t>
      </w:r>
      <w:r>
        <w:rPr>
          <w:rFonts w:cs="TimesTen-Roman"/>
        </w:rPr>
        <w:t xml:space="preserve"> </w:t>
      </w:r>
      <w:r w:rsidR="009833DA" w:rsidRPr="003730AA">
        <w:rPr>
          <w:rFonts w:cs="TimesTen-Roman"/>
        </w:rPr>
        <w:t xml:space="preserve">Dienstleistungsbilanz </w:t>
      </w:r>
      <w:r>
        <w:rPr>
          <w:rFonts w:cs="TimesTen-Roman"/>
        </w:rPr>
        <w:t>und</w:t>
      </w:r>
      <w:r w:rsidR="009833DA" w:rsidRPr="003730AA">
        <w:rPr>
          <w:rFonts w:cs="TimesTen-Roman"/>
        </w:rPr>
        <w:t xml:space="preserve"> die Bilanz der</w:t>
      </w:r>
      <w:r>
        <w:rPr>
          <w:rFonts w:cs="TimesTen-Roman"/>
        </w:rPr>
        <w:t xml:space="preserve"> </w:t>
      </w:r>
      <w:r w:rsidR="009833DA" w:rsidRPr="003730AA">
        <w:rPr>
          <w:rFonts w:cs="TimesTen-Roman"/>
        </w:rPr>
        <w:t>Arbeits- und Kapitalein</w:t>
      </w:r>
      <w:r>
        <w:rPr>
          <w:rFonts w:cs="TimesTen-Roman"/>
        </w:rPr>
        <w:t>kommen einen Überschuss aus.</w:t>
      </w:r>
      <w:r w:rsidR="009833DA" w:rsidRPr="003730AA">
        <w:rPr>
          <w:rFonts w:cs="TimesTen-Roman"/>
        </w:rPr>
        <w:t xml:space="preserve"> Die Bilanz der laufenden Übertragungen ist</w:t>
      </w:r>
      <w:r>
        <w:rPr>
          <w:rFonts w:cs="TimesTen-Roman"/>
        </w:rPr>
        <w:t xml:space="preserve"> </w:t>
      </w:r>
      <w:r w:rsidR="009833DA" w:rsidRPr="003730AA">
        <w:rPr>
          <w:rFonts w:cs="TimesTen-Roman"/>
        </w:rPr>
        <w:t>defizitär.</w:t>
      </w:r>
      <w:r>
        <w:rPr>
          <w:rFonts w:cs="TimesTen-Roman"/>
        </w:rPr>
        <w:t xml:space="preserve"> Die Handelsbilanz war für die Schweiz (ein Land ohne Rohstoffe) bis 2001 „traditionell“ im Defizit. Seit 2002 erzielen wir allerdings auch in der Handelsbilanz einen Überschuss aus.</w:t>
      </w:r>
    </w:p>
    <w:p w:rsidR="009833DA" w:rsidRPr="003730AA" w:rsidRDefault="009833DA" w:rsidP="0097638C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 xml:space="preserve">Die </w:t>
      </w:r>
      <w:r w:rsidR="003730AA">
        <w:rPr>
          <w:rFonts w:cs="TimesTen-Roman"/>
        </w:rPr>
        <w:t>Leistungs</w:t>
      </w:r>
      <w:r w:rsidRPr="003730AA">
        <w:rPr>
          <w:rFonts w:cs="TimesTen-Roman"/>
        </w:rPr>
        <w:t>bilanz weist einen Überschuss aus, wozu die Dienstleistungsbilanz</w:t>
      </w:r>
      <w:r w:rsidR="003730AA">
        <w:rPr>
          <w:rFonts w:cs="TimesTen-Roman"/>
        </w:rPr>
        <w:t xml:space="preserve"> hauptverantwortlich zeichnet. Im Normalfall trägt auch </w:t>
      </w:r>
      <w:r w:rsidR="003730AA" w:rsidRPr="003730AA">
        <w:rPr>
          <w:rFonts w:cs="TimesTen-Roman"/>
        </w:rPr>
        <w:t>die Bilanz der Arbeits- und Kapitaleinkom</w:t>
      </w:r>
      <w:r w:rsidR="003730AA">
        <w:rPr>
          <w:rFonts w:cs="TimesTen-Roman"/>
        </w:rPr>
        <w:t>men wesentlich zum Leistungsbilanzüberschuss bei.</w:t>
      </w:r>
    </w:p>
    <w:p w:rsidR="009833DA" w:rsidRPr="003730AA" w:rsidRDefault="009833DA" w:rsidP="0097638C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lastRenderedPageBreak/>
        <w:t xml:space="preserve">Die Länder Europas </w:t>
      </w:r>
      <w:r w:rsidR="003730AA">
        <w:rPr>
          <w:rFonts w:cs="TimesTen-Roman"/>
        </w:rPr>
        <w:t xml:space="preserve">– allen voran Deutschland - </w:t>
      </w:r>
      <w:r w:rsidRPr="003730AA">
        <w:rPr>
          <w:rFonts w:cs="TimesTen-Roman"/>
        </w:rPr>
        <w:t>sind sowohl die wichtigsten Kunden als auch Lieferanten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der schweizerischen Volkswirtschaft.</w:t>
      </w:r>
    </w:p>
    <w:p w:rsidR="003730AA" w:rsidRDefault="003730AA" w:rsidP="003730AA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3730AA" w:rsidRDefault="009833DA" w:rsidP="0097638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>Jede Transaktion mit dem Ausland entspricht einem Tauschvorgang. Jede Transaktion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löst zwei Ströme aus und erfordert demzufolge zwei Buchungen. Die Zahlungsbilanz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 xml:space="preserve">insgesamt darf also keinen Saldo </w:t>
      </w:r>
      <w:proofErr w:type="spellStart"/>
      <w:r w:rsidRPr="003730AA">
        <w:rPr>
          <w:rFonts w:cs="TimesTen-Roman"/>
        </w:rPr>
        <w:t>ausweisen.Weil</w:t>
      </w:r>
      <w:proofErr w:type="spellEnd"/>
      <w:r w:rsidRPr="003730AA">
        <w:rPr>
          <w:rFonts w:cs="TimesTen-Roman"/>
        </w:rPr>
        <w:t xml:space="preserve"> sie in Wirklichkeit nie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aufgeht, ergibt sich eine Position Restposten, bei dem es sich um Lücken und Fehler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in der statistischen Erhebung handeln muss.</w:t>
      </w:r>
    </w:p>
    <w:p w:rsidR="003730AA" w:rsidRPr="003730AA" w:rsidRDefault="003730AA" w:rsidP="003730AA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3730AA" w:rsidRDefault="009833DA" w:rsidP="0097638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>Direktinvestitionen, Portfolioinvestitionen und Währungsreserven.</w:t>
      </w:r>
    </w:p>
    <w:p w:rsidR="003730AA" w:rsidRPr="003730AA" w:rsidRDefault="003730AA" w:rsidP="003730AA">
      <w:pPr>
        <w:pStyle w:val="Listenabsatz"/>
        <w:rPr>
          <w:rFonts w:cs="TimesTen-Bold"/>
          <w:bCs/>
        </w:rPr>
      </w:pPr>
    </w:p>
    <w:p w:rsidR="009833DA" w:rsidRPr="003730AA" w:rsidRDefault="009833DA" w:rsidP="0097638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3730AA">
        <w:rPr>
          <w:rFonts w:cs="TimesTen-Roman"/>
        </w:rPr>
        <w:t>Die Zunahme der schweizerischen Direktinvestitionen im Ausland reflektiert die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Expansion schweizerischer Unternehmen im Ausland. Der Hauptgrund dafür liegt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 xml:space="preserve">wohl im Bestreben, </w:t>
      </w:r>
      <w:r w:rsidR="0097638C">
        <w:rPr>
          <w:rFonts w:cs="TimesTen-Roman"/>
        </w:rPr>
        <w:t>im Angesicht der Globalisierung</w:t>
      </w:r>
      <w:r w:rsidRPr="003730AA">
        <w:rPr>
          <w:rFonts w:cs="TimesTen-Roman"/>
        </w:rPr>
        <w:t xml:space="preserve"> eine </w:t>
      </w:r>
      <w:proofErr w:type="spellStart"/>
      <w:r w:rsidRPr="003730AA">
        <w:rPr>
          <w:rFonts w:cs="TimesTen-Roman"/>
        </w:rPr>
        <w:t>grössere</w:t>
      </w:r>
      <w:proofErr w:type="spellEnd"/>
      <w:r w:rsidRPr="003730AA">
        <w:rPr>
          <w:rFonts w:cs="TimesTen-Roman"/>
        </w:rPr>
        <w:t xml:space="preserve"> Kundennähe</w:t>
      </w:r>
      <w:r w:rsidR="003730AA">
        <w:rPr>
          <w:rFonts w:cs="TimesTen-Roman"/>
        </w:rPr>
        <w:t xml:space="preserve"> </w:t>
      </w:r>
      <w:r w:rsidRPr="003730AA">
        <w:rPr>
          <w:rFonts w:cs="TimesTen-Roman"/>
        </w:rPr>
        <w:t>und eine verbesserte Marktpräsenz zu erreichen.</w:t>
      </w:r>
      <w:r w:rsidR="0097638C">
        <w:rPr>
          <w:rFonts w:cs="TimesTen-Roman"/>
        </w:rPr>
        <w:t xml:space="preserve"> Selbstverständlich spielt beim Entscheid über eine Direktinvestition im Ausland auch die Höhe der Produktionskosten eine Rolle.</w:t>
      </w:r>
    </w:p>
    <w:p w:rsidR="003730AA" w:rsidRPr="003730AA" w:rsidRDefault="003730AA" w:rsidP="003730AA">
      <w:pPr>
        <w:pStyle w:val="Listenabsatz"/>
        <w:rPr>
          <w:rFonts w:cs="TimesTen-Bold"/>
          <w:bCs/>
        </w:rPr>
      </w:pPr>
    </w:p>
    <w:p w:rsidR="003730AA" w:rsidRPr="003730AA" w:rsidRDefault="003730AA" w:rsidP="003730AA">
      <w:pPr>
        <w:pStyle w:val="Listenabsatz"/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Default="0002178F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  <w:r>
        <w:rPr>
          <w:rFonts w:cs="TimesTen-Bold"/>
          <w:b/>
          <w:bCs/>
        </w:rPr>
        <w:t>Kapitel 15</w:t>
      </w:r>
    </w:p>
    <w:p w:rsidR="00F11718" w:rsidRDefault="00F11718" w:rsidP="009833DA">
      <w:pPr>
        <w:autoSpaceDE w:val="0"/>
        <w:autoSpaceDN w:val="0"/>
        <w:adjustRightInd w:val="0"/>
        <w:spacing w:after="0" w:line="240" w:lineRule="auto"/>
        <w:rPr>
          <w:rFonts w:cs="TimesTen-Bold"/>
          <w:b/>
          <w:bCs/>
        </w:rPr>
      </w:pPr>
    </w:p>
    <w:p w:rsidR="00F11718" w:rsidRDefault="00F11718" w:rsidP="00F11718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</w:p>
    <w:p w:rsidR="009833DA" w:rsidRDefault="00F11718" w:rsidP="00F11718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Ten-Roman"/>
        </w:rPr>
      </w:pPr>
      <w:r>
        <w:rPr>
          <w:rFonts w:cs="TimesTen-Bold"/>
          <w:bCs/>
        </w:rPr>
        <w:t>Die Kaufkraftparitätentheorie</w:t>
      </w:r>
      <w:r w:rsidR="009833DA" w:rsidRPr="009833DA">
        <w:rPr>
          <w:rFonts w:cs="TimesTen-Roman"/>
        </w:rPr>
        <w:t xml:space="preserve"> besagt, dass die Änderung des Wechselkurses durch die Differenz in den Inflationsraten</w:t>
      </w:r>
      <w:r>
        <w:rPr>
          <w:rFonts w:cs="TimesTen-Roman"/>
        </w:rPr>
        <w:t xml:space="preserve"> </w:t>
      </w:r>
      <w:r w:rsidR="009833DA" w:rsidRPr="009833DA">
        <w:rPr>
          <w:rFonts w:cs="TimesTen-Roman"/>
        </w:rPr>
        <w:t>bestimmt wird. Der Wechselkurs sorgt damit für den Ausgleich der</w:t>
      </w:r>
      <w:r>
        <w:rPr>
          <w:rFonts w:cs="TimesTen-Roman"/>
        </w:rPr>
        <w:t xml:space="preserve"> </w:t>
      </w:r>
      <w:r w:rsidR="009833DA" w:rsidRPr="009833DA">
        <w:rPr>
          <w:rFonts w:cs="TimesTen-Roman"/>
        </w:rPr>
        <w:t>Kaufkraft von verschiedenen Währungen.</w:t>
      </w:r>
    </w:p>
    <w:p w:rsidR="009833DA" w:rsidRPr="00F11718" w:rsidRDefault="009833DA" w:rsidP="009833DA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F11718">
        <w:rPr>
          <w:rFonts w:cs="TimesTen-Roman"/>
        </w:rPr>
        <w:t>Hauptsächlich deshalb, weil ein bedeutender Teil der Nachfrage und des Angebotes</w:t>
      </w:r>
      <w:r w:rsidR="00F11718">
        <w:rPr>
          <w:rFonts w:cs="TimesTen-Roman"/>
        </w:rPr>
        <w:t xml:space="preserve"> </w:t>
      </w:r>
      <w:r w:rsidRPr="00F11718">
        <w:rPr>
          <w:rFonts w:cs="TimesTen-Roman"/>
        </w:rPr>
        <w:t>aufgrund von reinen Kapitalbewegungen entsteht und nicht aufgrund von</w:t>
      </w:r>
      <w:r w:rsidR="00F11718">
        <w:rPr>
          <w:rFonts w:cs="TimesTen-Roman"/>
        </w:rPr>
        <w:t xml:space="preserve"> </w:t>
      </w:r>
      <w:r w:rsidRPr="00F11718">
        <w:rPr>
          <w:rFonts w:cs="TimesTen-Roman"/>
        </w:rPr>
        <w:t>Güter- und Dienstleistungskäufen bzw. -verkäufen.</w:t>
      </w:r>
    </w:p>
    <w:p w:rsidR="00F11718" w:rsidRDefault="00F11718" w:rsidP="00F11718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F11718" w:rsidRDefault="00F11718" w:rsidP="00F11718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</w:p>
    <w:p w:rsidR="009833DA" w:rsidRPr="00F11718" w:rsidRDefault="009833DA" w:rsidP="009833D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F11718">
        <w:rPr>
          <w:rFonts w:cs="TimesTen-Roman"/>
        </w:rPr>
        <w:t xml:space="preserve"> Eine Währung wird als überbewertet bezeichnet, wenn die Kaufkraftparität</w:t>
      </w:r>
      <w:r w:rsidR="00F11718">
        <w:rPr>
          <w:rFonts w:cs="TimesTen-Roman"/>
        </w:rPr>
        <w:t xml:space="preserve"> </w:t>
      </w:r>
      <w:r w:rsidRPr="00F11718">
        <w:rPr>
          <w:rFonts w:cs="TimesTen-Roman"/>
        </w:rPr>
        <w:t>nicht gegeben ist; wenn mit einer bestimmten Summe der einheimischen Währung</w:t>
      </w:r>
      <w:r w:rsidR="00F11718">
        <w:rPr>
          <w:rFonts w:cs="TimesTen-Roman"/>
        </w:rPr>
        <w:t xml:space="preserve"> </w:t>
      </w:r>
      <w:r w:rsidRPr="00F11718">
        <w:rPr>
          <w:rFonts w:cs="TimesTen-Roman"/>
        </w:rPr>
        <w:t>– umgetauscht in die ausländische Währung – im Ausland mehr gekauft</w:t>
      </w:r>
      <w:r w:rsidR="00F11718">
        <w:rPr>
          <w:rFonts w:cs="TimesTen-Roman"/>
        </w:rPr>
        <w:t xml:space="preserve"> </w:t>
      </w:r>
      <w:r w:rsidRPr="00F11718">
        <w:rPr>
          <w:rFonts w:cs="TimesTen-Roman"/>
        </w:rPr>
        <w:t>werden kann als im Inland.</w:t>
      </w:r>
    </w:p>
    <w:p w:rsidR="009833DA" w:rsidRPr="00F11718" w:rsidRDefault="009833DA" w:rsidP="009833D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F11718">
        <w:rPr>
          <w:rFonts w:cs="TimesTen-Roman"/>
        </w:rPr>
        <w:t>Ein überbewerteter Franken schwächt die inländische Konjunktur, es entstehen</w:t>
      </w:r>
      <w:r w:rsidR="00F11718">
        <w:rPr>
          <w:rFonts w:cs="TimesTen-Roman"/>
        </w:rPr>
        <w:t xml:space="preserve"> Absatz-, Ausfuhr</w:t>
      </w:r>
      <w:r w:rsidRPr="00F11718">
        <w:rPr>
          <w:rFonts w:cs="TimesTen-Roman"/>
        </w:rPr>
        <w:t>- und Beschäftigungsprobleme in der Exportwirtschaft.</w:t>
      </w:r>
    </w:p>
    <w:p w:rsidR="009833DA" w:rsidRPr="00F11718" w:rsidRDefault="00F11718" w:rsidP="009833DA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>
        <w:rPr>
          <w:rFonts w:cs="TimesTen-Roman"/>
        </w:rPr>
        <w:t>E</w:t>
      </w:r>
      <w:r w:rsidR="009833DA" w:rsidRPr="00F11718">
        <w:rPr>
          <w:rFonts w:cs="TimesTen-Roman"/>
        </w:rPr>
        <w:t>s darf sich</w:t>
      </w:r>
      <w:r>
        <w:rPr>
          <w:rFonts w:cs="TimesTen-Roman"/>
        </w:rPr>
        <w:t xml:space="preserve"> </w:t>
      </w:r>
      <w:r w:rsidR="009833DA" w:rsidRPr="00F11718">
        <w:rPr>
          <w:rFonts w:cs="TimesTen-Roman"/>
        </w:rPr>
        <w:t>nur um kurzfristige Störungen handeln, langfristige Trends der grundlegenden</w:t>
      </w:r>
      <w:r>
        <w:rPr>
          <w:rFonts w:cs="TimesTen-Roman"/>
        </w:rPr>
        <w:t xml:space="preserve"> </w:t>
      </w:r>
      <w:r w:rsidR="009833DA" w:rsidRPr="00F11718">
        <w:rPr>
          <w:rFonts w:cs="TimesTen-Roman"/>
        </w:rPr>
        <w:t>Marktkräfte können durch die Nation</w:t>
      </w:r>
      <w:r>
        <w:rPr>
          <w:rFonts w:cs="TimesTen-Roman"/>
        </w:rPr>
        <w:t>albanken nicht umgekehrt werden (bzw. die Nationalbanken sind nicht bereit, die Opportunitätskosten zu tragen). Erhöht wird die Erfolgswahrscheinlichkeit, wenn</w:t>
      </w:r>
      <w:r w:rsidRPr="00F11718">
        <w:rPr>
          <w:rFonts w:cs="TimesTen-Roman"/>
        </w:rPr>
        <w:t xml:space="preserve"> gemeinsame Interventionen </w:t>
      </w:r>
      <w:r>
        <w:rPr>
          <w:rFonts w:cs="TimesTen-Roman"/>
        </w:rPr>
        <w:t>von verschiedenen</w:t>
      </w:r>
      <w:r w:rsidRPr="00F11718">
        <w:rPr>
          <w:rFonts w:cs="TimesTen-Roman"/>
        </w:rPr>
        <w:t xml:space="preserve"> Nationalbanken</w:t>
      </w:r>
      <w:r>
        <w:rPr>
          <w:rFonts w:cs="TimesTen-Roman"/>
        </w:rPr>
        <w:t xml:space="preserve"> koordiniert werden.</w:t>
      </w:r>
    </w:p>
    <w:p w:rsidR="00F11718" w:rsidRDefault="00F11718" w:rsidP="00F11718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F11718" w:rsidRDefault="00F11718" w:rsidP="00F11718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</w:p>
    <w:p w:rsidR="009833DA" w:rsidRPr="0002178F" w:rsidRDefault="009833DA" w:rsidP="009833D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TimesTen-Bold"/>
          <w:bCs/>
        </w:rPr>
      </w:pPr>
      <w:r w:rsidRPr="0002178F">
        <w:rPr>
          <w:rFonts w:cs="TimesTen-Roman"/>
        </w:rPr>
        <w:t>Schwankende Wechselkurse widerspiegeln unterschiedliche wirtschaftliche und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politische Entwicklungen von Ländern. Flexible Wechselkurse erlauben den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Nationalbanken eine autonome Geldpolitik zu betreiben.</w:t>
      </w:r>
    </w:p>
    <w:p w:rsidR="009833DA" w:rsidRPr="0002178F" w:rsidRDefault="009833DA" w:rsidP="009833DA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cs="TimesTen-Bold"/>
          <w:bCs/>
        </w:rPr>
      </w:pPr>
      <w:r w:rsidRPr="0002178F">
        <w:rPr>
          <w:rFonts w:cs="TimesTen-Roman"/>
        </w:rPr>
        <w:t>Unsichere Kalkulations- und Handelsbasis, die den freien Verkehr behindern;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Beschäftigungsschwankungen in der Exportwirtschaft</w:t>
      </w:r>
      <w:r w:rsidR="0002178F">
        <w:rPr>
          <w:rFonts w:cs="TimesTen-Roman"/>
        </w:rPr>
        <w:t>.</w:t>
      </w:r>
    </w:p>
    <w:p w:rsidR="0002178F" w:rsidRDefault="0002178F" w:rsidP="0002178F">
      <w:p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</w:p>
    <w:p w:rsidR="009833DA" w:rsidRPr="0002178F" w:rsidRDefault="009833DA" w:rsidP="009833D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  <w:r w:rsidRPr="0002178F">
        <w:rPr>
          <w:rFonts w:cs="TimesTen-Roman"/>
        </w:rPr>
        <w:t>Er übernimmt die Rolle des Bankiers (Sonderziehungsrechte), die Rolle des Polizisten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(Bedingungen für die Geldvergabe) und die Rolle des Doktors (verschiedene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Fazilitäten für bestimmte «Krankheiten»).</w:t>
      </w:r>
    </w:p>
    <w:p w:rsidR="0002178F" w:rsidRPr="0002178F" w:rsidRDefault="0002178F" w:rsidP="0002178F">
      <w:pPr>
        <w:pStyle w:val="Listenabsatz"/>
        <w:autoSpaceDE w:val="0"/>
        <w:autoSpaceDN w:val="0"/>
        <w:adjustRightInd w:val="0"/>
        <w:spacing w:after="0" w:line="240" w:lineRule="auto"/>
        <w:ind w:left="709"/>
        <w:rPr>
          <w:rFonts w:cs="TimesTen-Bold"/>
          <w:bCs/>
        </w:rPr>
      </w:pPr>
    </w:p>
    <w:p w:rsidR="009833DA" w:rsidRPr="0002178F" w:rsidRDefault="009833DA" w:rsidP="009833D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  <w:r w:rsidRPr="0002178F">
        <w:rPr>
          <w:rFonts w:cs="TimesTen-Roman"/>
        </w:rPr>
        <w:lastRenderedPageBreak/>
        <w:t>Ursache: Unterschiedliche wirtschaftliche Entwicklungen in den einzelnen Ländern,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England kämpfte mit Rezessionsproblemen, während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dem sich Deutschland um die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Inflation (aufgrund der Wiedervereinigung) Sorgen machen musste.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Mechanismen: England wollte die Zinsen senken und Deutschland wollte sie erhöhen.</w:t>
      </w:r>
      <w:r w:rsidR="0002178F" w:rsidRPr="0002178F">
        <w:rPr>
          <w:rFonts w:cs="TimesTen-Roman"/>
        </w:rPr>
        <w:t xml:space="preserve"> Darauf </w:t>
      </w:r>
      <w:r w:rsidRPr="0002178F">
        <w:rPr>
          <w:rFonts w:cs="TimesTen-Roman"/>
        </w:rPr>
        <w:t>kam das Pfund unter Abwertungs- und die DM unter Aufwertungsdruck.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Um den Wechselkurs zu fixieren wurden Interventionen nötig, die der ursprünglichen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Absicht der beiden Länder zuwider liefen. Deshalb ist England aus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dem EWS ausgetreten.</w:t>
      </w:r>
    </w:p>
    <w:p w:rsidR="0002178F" w:rsidRPr="0002178F" w:rsidRDefault="0002178F" w:rsidP="0002178F">
      <w:pPr>
        <w:pStyle w:val="Listenabsatz"/>
        <w:rPr>
          <w:rFonts w:cs="TimesTen-Bold"/>
          <w:bCs/>
        </w:rPr>
      </w:pPr>
    </w:p>
    <w:p w:rsidR="0002178F" w:rsidRDefault="0002178F" w:rsidP="009833DA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TimesTen-Bold"/>
          <w:bCs/>
        </w:rPr>
      </w:pPr>
    </w:p>
    <w:p w:rsidR="009833DA" w:rsidRPr="0002178F" w:rsidRDefault="009833DA" w:rsidP="009833D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02178F">
        <w:rPr>
          <w:rFonts w:cs="TimesTen-Roman"/>
        </w:rPr>
        <w:t>Senkung der Transaktionskosten, Steigerung des Wachstums, Erhöhung der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Preisstabilität, Harmonisierung des Zinsniveaus.</w:t>
      </w:r>
    </w:p>
    <w:p w:rsidR="009833DA" w:rsidRPr="0002178F" w:rsidRDefault="009833DA" w:rsidP="009833DA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Ten-Bold"/>
          <w:bCs/>
        </w:rPr>
      </w:pPr>
      <w:r w:rsidRPr="0002178F">
        <w:rPr>
          <w:rFonts w:cs="TimesTen-Roman"/>
        </w:rPr>
        <w:t xml:space="preserve"> Unterschiedliche Wirtschaftsstrukturen,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Wirtschaftspolitiken und Kulturen bewirken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unterschiedliche Entwicklungsmuster, welche bei einer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 xml:space="preserve">gemeinsamen Währung zu </w:t>
      </w:r>
      <w:proofErr w:type="spellStart"/>
      <w:r w:rsidRPr="0002178F">
        <w:rPr>
          <w:rFonts w:cs="TimesTen-Roman"/>
        </w:rPr>
        <w:t>grossen</w:t>
      </w:r>
      <w:proofErr w:type="spellEnd"/>
      <w:r w:rsidRPr="0002178F">
        <w:rPr>
          <w:rFonts w:cs="TimesTen-Roman"/>
        </w:rPr>
        <w:t xml:space="preserve"> Problemen führen. Ohne politische Union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kann eine Währungsunion nicht überleben (wie die Geschichte zeigt). Die notwendige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Solidarität für Transferzahlungen (um Wohlstandsunterschiede auszugleichen)</w:t>
      </w:r>
      <w:r w:rsidR="0002178F">
        <w:rPr>
          <w:rFonts w:cs="TimesTen-Roman"/>
        </w:rPr>
        <w:t xml:space="preserve"> </w:t>
      </w:r>
      <w:r w:rsidRPr="0002178F">
        <w:rPr>
          <w:rFonts w:cs="TimesTen-Roman"/>
        </w:rPr>
        <w:t>ist in der EU nicht vorhanden</w:t>
      </w:r>
      <w:r w:rsidR="0002178F">
        <w:rPr>
          <w:rFonts w:cs="TimesTen-Roman"/>
        </w:rPr>
        <w:t>.</w:t>
      </w:r>
    </w:p>
    <w:p w:rsidR="00DD669A" w:rsidRPr="009833DA" w:rsidRDefault="00DD669A" w:rsidP="009833DA"/>
    <w:sectPr w:rsidR="00DD669A" w:rsidRPr="009833DA" w:rsidSect="00957A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18" w:rsidRDefault="00F11718" w:rsidP="00652B65">
      <w:pPr>
        <w:spacing w:after="0" w:line="240" w:lineRule="auto"/>
      </w:pPr>
      <w:r>
        <w:separator/>
      </w:r>
    </w:p>
  </w:endnote>
  <w:end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18" w:rsidRDefault="00F11718" w:rsidP="00652B65">
      <w:pPr>
        <w:spacing w:after="0" w:line="240" w:lineRule="auto"/>
      </w:pPr>
      <w:r>
        <w:separator/>
      </w:r>
    </w:p>
  </w:footnote>
  <w:footnote w:type="continuationSeparator" w:id="0">
    <w:p w:rsidR="00F11718" w:rsidRDefault="00F11718" w:rsidP="0065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718" w:rsidRPr="007419E2" w:rsidRDefault="00F11718">
    <w:pPr>
      <w:pStyle w:val="Kopfzeile"/>
      <w:pBdr>
        <w:bottom w:val="single" w:sz="12" w:space="1" w:color="auto"/>
      </w:pBdr>
      <w:rPr>
        <w:sz w:val="16"/>
        <w:szCs w:val="16"/>
        <w:lang w:val="de-CH"/>
      </w:rPr>
    </w:pPr>
    <w:r>
      <w:rPr>
        <w:sz w:val="16"/>
        <w:szCs w:val="16"/>
        <w:lang w:val="de-CH"/>
      </w:rPr>
      <w:t xml:space="preserve">Lösungen zu den Repetitionsfragen, </w:t>
    </w:r>
    <w:r w:rsidRPr="00F36267">
      <w:rPr>
        <w:sz w:val="16"/>
        <w:szCs w:val="16"/>
        <w:lang w:val="de-CH"/>
      </w:rPr>
      <w:t>Aktuelle Volkswirtschaftslehre, Peter Eisenhut</w:t>
    </w:r>
    <w:r>
      <w:rPr>
        <w:lang w:val="de-CH"/>
      </w:rPr>
      <w:tab/>
    </w:r>
    <w:r w:rsidRPr="00F36267">
      <w:rPr>
        <w:noProof/>
        <w:lang w:eastAsia="de-DE"/>
      </w:rPr>
      <w:drawing>
        <wp:inline distT="0" distB="0" distL="0" distR="0">
          <wp:extent cx="300654" cy="318052"/>
          <wp:effectExtent l="19050" t="0" r="4146" b="0"/>
          <wp:docPr id="3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62" cy="32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11718" w:rsidRPr="00F36267" w:rsidRDefault="00F11718">
    <w:pPr>
      <w:pStyle w:val="Kopfzeile"/>
      <w:rPr>
        <w:lang w:val="de-CH"/>
      </w:rPr>
    </w:pP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  <w:r>
      <w:rPr>
        <w:lang w:val="de-CH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47B"/>
    <w:multiLevelType w:val="hybridMultilevel"/>
    <w:tmpl w:val="B4FE198C"/>
    <w:lvl w:ilvl="0" w:tplc="28A491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8061A"/>
    <w:multiLevelType w:val="hybridMultilevel"/>
    <w:tmpl w:val="9F1C83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A86"/>
    <w:multiLevelType w:val="hybridMultilevel"/>
    <w:tmpl w:val="A03EE02C"/>
    <w:lvl w:ilvl="0" w:tplc="F6F0017E">
      <w:start w:val="1"/>
      <w:numFmt w:val="lowerLetter"/>
      <w:lvlText w:val="%1)"/>
      <w:lvlJc w:val="left"/>
      <w:pPr>
        <w:ind w:left="1069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9B274A"/>
    <w:multiLevelType w:val="hybridMultilevel"/>
    <w:tmpl w:val="F11412BC"/>
    <w:lvl w:ilvl="0" w:tplc="B2EC8B8C">
      <w:start w:val="1"/>
      <w:numFmt w:val="lowerLetter"/>
      <w:lvlText w:val="%1)"/>
      <w:lvlJc w:val="left"/>
      <w:pPr>
        <w:ind w:left="144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304A7"/>
    <w:multiLevelType w:val="hybridMultilevel"/>
    <w:tmpl w:val="24E6DB34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A0DB8"/>
    <w:multiLevelType w:val="hybridMultilevel"/>
    <w:tmpl w:val="43EE6DBC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00E03"/>
    <w:multiLevelType w:val="hybridMultilevel"/>
    <w:tmpl w:val="D26645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C1E33"/>
    <w:multiLevelType w:val="hybridMultilevel"/>
    <w:tmpl w:val="7BB6647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F6235B"/>
    <w:multiLevelType w:val="hybridMultilevel"/>
    <w:tmpl w:val="14C4E2BC"/>
    <w:lvl w:ilvl="0" w:tplc="0407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5" w:hanging="360"/>
      </w:pPr>
    </w:lvl>
    <w:lvl w:ilvl="2" w:tplc="0407001B" w:tentative="1">
      <w:start w:val="1"/>
      <w:numFmt w:val="lowerRoman"/>
      <w:lvlText w:val="%3."/>
      <w:lvlJc w:val="right"/>
      <w:pPr>
        <w:ind w:left="5345" w:hanging="180"/>
      </w:pPr>
    </w:lvl>
    <w:lvl w:ilvl="3" w:tplc="0407000F" w:tentative="1">
      <w:start w:val="1"/>
      <w:numFmt w:val="decimal"/>
      <w:lvlText w:val="%4."/>
      <w:lvlJc w:val="left"/>
      <w:pPr>
        <w:ind w:left="6065" w:hanging="360"/>
      </w:pPr>
    </w:lvl>
    <w:lvl w:ilvl="4" w:tplc="04070019" w:tentative="1">
      <w:start w:val="1"/>
      <w:numFmt w:val="lowerLetter"/>
      <w:lvlText w:val="%5."/>
      <w:lvlJc w:val="left"/>
      <w:pPr>
        <w:ind w:left="6785" w:hanging="360"/>
      </w:pPr>
    </w:lvl>
    <w:lvl w:ilvl="5" w:tplc="0407001B" w:tentative="1">
      <w:start w:val="1"/>
      <w:numFmt w:val="lowerRoman"/>
      <w:lvlText w:val="%6."/>
      <w:lvlJc w:val="right"/>
      <w:pPr>
        <w:ind w:left="7505" w:hanging="180"/>
      </w:pPr>
    </w:lvl>
    <w:lvl w:ilvl="6" w:tplc="0407000F" w:tentative="1">
      <w:start w:val="1"/>
      <w:numFmt w:val="decimal"/>
      <w:lvlText w:val="%7."/>
      <w:lvlJc w:val="left"/>
      <w:pPr>
        <w:ind w:left="8225" w:hanging="360"/>
      </w:pPr>
    </w:lvl>
    <w:lvl w:ilvl="7" w:tplc="04070019" w:tentative="1">
      <w:start w:val="1"/>
      <w:numFmt w:val="lowerLetter"/>
      <w:lvlText w:val="%8."/>
      <w:lvlJc w:val="left"/>
      <w:pPr>
        <w:ind w:left="8945" w:hanging="360"/>
      </w:pPr>
    </w:lvl>
    <w:lvl w:ilvl="8" w:tplc="0407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17F547DE"/>
    <w:multiLevelType w:val="hybridMultilevel"/>
    <w:tmpl w:val="31B68BEA"/>
    <w:lvl w:ilvl="0" w:tplc="73F60B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Ten-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2909B1"/>
    <w:multiLevelType w:val="hybridMultilevel"/>
    <w:tmpl w:val="4B322784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10B13"/>
    <w:multiLevelType w:val="hybridMultilevel"/>
    <w:tmpl w:val="CDA863A6"/>
    <w:lvl w:ilvl="0" w:tplc="9B987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42A03"/>
    <w:multiLevelType w:val="hybridMultilevel"/>
    <w:tmpl w:val="DE3E96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75165"/>
    <w:multiLevelType w:val="hybridMultilevel"/>
    <w:tmpl w:val="FBC8A9A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358C"/>
    <w:multiLevelType w:val="hybridMultilevel"/>
    <w:tmpl w:val="1960C54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0F68F4"/>
    <w:multiLevelType w:val="hybridMultilevel"/>
    <w:tmpl w:val="E054ABD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0EED"/>
    <w:multiLevelType w:val="hybridMultilevel"/>
    <w:tmpl w:val="7C0659E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C63DE9"/>
    <w:multiLevelType w:val="hybridMultilevel"/>
    <w:tmpl w:val="C3C29A0A"/>
    <w:lvl w:ilvl="0" w:tplc="372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76E13"/>
    <w:multiLevelType w:val="hybridMultilevel"/>
    <w:tmpl w:val="430479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04A9A"/>
    <w:multiLevelType w:val="hybridMultilevel"/>
    <w:tmpl w:val="3DC64E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72E9"/>
    <w:multiLevelType w:val="hybridMultilevel"/>
    <w:tmpl w:val="68AE4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E65"/>
    <w:multiLevelType w:val="hybridMultilevel"/>
    <w:tmpl w:val="6F44096A"/>
    <w:lvl w:ilvl="0" w:tplc="9E968136">
      <w:start w:val="1"/>
      <w:numFmt w:val="lowerLetter"/>
      <w:lvlText w:val="%1)"/>
      <w:lvlJc w:val="left"/>
      <w:pPr>
        <w:ind w:left="1428" w:hanging="360"/>
      </w:pPr>
      <w:rPr>
        <w:rFonts w:cs="TimesTen-Roman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21F60CF"/>
    <w:multiLevelType w:val="hybridMultilevel"/>
    <w:tmpl w:val="57060C4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A5073"/>
    <w:multiLevelType w:val="hybridMultilevel"/>
    <w:tmpl w:val="D2D8439E"/>
    <w:lvl w:ilvl="0" w:tplc="D17CF948">
      <w:start w:val="1"/>
      <w:numFmt w:val="lowerLetter"/>
      <w:lvlText w:val="%1)"/>
      <w:lvlJc w:val="left"/>
      <w:pPr>
        <w:ind w:left="1080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5B046B"/>
    <w:multiLevelType w:val="hybridMultilevel"/>
    <w:tmpl w:val="684249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45BAD"/>
    <w:multiLevelType w:val="hybridMultilevel"/>
    <w:tmpl w:val="A32ECB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C05"/>
    <w:multiLevelType w:val="hybridMultilevel"/>
    <w:tmpl w:val="4532F5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24D5"/>
    <w:multiLevelType w:val="hybridMultilevel"/>
    <w:tmpl w:val="5E30AC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DEF"/>
    <w:multiLevelType w:val="hybridMultilevel"/>
    <w:tmpl w:val="58A62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E5428"/>
    <w:multiLevelType w:val="hybridMultilevel"/>
    <w:tmpl w:val="1A2C487A"/>
    <w:lvl w:ilvl="0" w:tplc="209C4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9D56FD"/>
    <w:multiLevelType w:val="hybridMultilevel"/>
    <w:tmpl w:val="0290C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0B6"/>
    <w:multiLevelType w:val="hybridMultilevel"/>
    <w:tmpl w:val="F1EEB852"/>
    <w:lvl w:ilvl="0" w:tplc="67ACCD56">
      <w:start w:val="1"/>
      <w:numFmt w:val="lowerLetter"/>
      <w:lvlText w:val="%1)"/>
      <w:lvlJc w:val="left"/>
      <w:pPr>
        <w:ind w:left="1068" w:hanging="360"/>
      </w:pPr>
      <w:rPr>
        <w:rFonts w:cs="TimesTen-Bold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C95737"/>
    <w:multiLevelType w:val="hybridMultilevel"/>
    <w:tmpl w:val="98A6A552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17947"/>
    <w:multiLevelType w:val="hybridMultilevel"/>
    <w:tmpl w:val="BB9A7E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40CEB"/>
    <w:multiLevelType w:val="hybridMultilevel"/>
    <w:tmpl w:val="71D8CD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31CB"/>
    <w:multiLevelType w:val="hybridMultilevel"/>
    <w:tmpl w:val="FBC8D874"/>
    <w:lvl w:ilvl="0" w:tplc="3E581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27"/>
  </w:num>
  <w:num w:numId="5">
    <w:abstractNumId w:val="30"/>
  </w:num>
  <w:num w:numId="6">
    <w:abstractNumId w:val="24"/>
  </w:num>
  <w:num w:numId="7">
    <w:abstractNumId w:val="4"/>
  </w:num>
  <w:num w:numId="8">
    <w:abstractNumId w:val="6"/>
  </w:num>
  <w:num w:numId="9">
    <w:abstractNumId w:val="9"/>
  </w:num>
  <w:num w:numId="10">
    <w:abstractNumId w:val="34"/>
  </w:num>
  <w:num w:numId="11">
    <w:abstractNumId w:val="29"/>
  </w:num>
  <w:num w:numId="12">
    <w:abstractNumId w:val="13"/>
  </w:num>
  <w:num w:numId="13">
    <w:abstractNumId w:val="11"/>
  </w:num>
  <w:num w:numId="14">
    <w:abstractNumId w:val="3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28"/>
  </w:num>
  <w:num w:numId="21">
    <w:abstractNumId w:val="10"/>
  </w:num>
  <w:num w:numId="22">
    <w:abstractNumId w:val="25"/>
  </w:num>
  <w:num w:numId="23">
    <w:abstractNumId w:val="20"/>
  </w:num>
  <w:num w:numId="24">
    <w:abstractNumId w:val="23"/>
  </w:num>
  <w:num w:numId="25">
    <w:abstractNumId w:val="32"/>
  </w:num>
  <w:num w:numId="26">
    <w:abstractNumId w:val="3"/>
  </w:num>
  <w:num w:numId="27">
    <w:abstractNumId w:val="33"/>
  </w:num>
  <w:num w:numId="28">
    <w:abstractNumId w:val="5"/>
  </w:num>
  <w:num w:numId="29">
    <w:abstractNumId w:val="17"/>
  </w:num>
  <w:num w:numId="30">
    <w:abstractNumId w:val="15"/>
  </w:num>
  <w:num w:numId="31">
    <w:abstractNumId w:val="2"/>
  </w:num>
  <w:num w:numId="32">
    <w:abstractNumId w:val="31"/>
  </w:num>
  <w:num w:numId="33">
    <w:abstractNumId w:val="21"/>
  </w:num>
  <w:num w:numId="34">
    <w:abstractNumId w:val="0"/>
  </w:num>
  <w:num w:numId="35">
    <w:abstractNumId w:val="22"/>
  </w:num>
  <w:num w:numId="36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65"/>
    <w:rsid w:val="00003C13"/>
    <w:rsid w:val="0002178F"/>
    <w:rsid w:val="00033D66"/>
    <w:rsid w:val="00033E32"/>
    <w:rsid w:val="000418F7"/>
    <w:rsid w:val="00041EE4"/>
    <w:rsid w:val="00072B69"/>
    <w:rsid w:val="0007659D"/>
    <w:rsid w:val="000A3388"/>
    <w:rsid w:val="000E4EF7"/>
    <w:rsid w:val="000F376B"/>
    <w:rsid w:val="00136195"/>
    <w:rsid w:val="001748D8"/>
    <w:rsid w:val="00207F6B"/>
    <w:rsid w:val="0025305C"/>
    <w:rsid w:val="0025381B"/>
    <w:rsid w:val="002C3627"/>
    <w:rsid w:val="002D7FA2"/>
    <w:rsid w:val="00324644"/>
    <w:rsid w:val="00367632"/>
    <w:rsid w:val="003730AA"/>
    <w:rsid w:val="0038088B"/>
    <w:rsid w:val="00391839"/>
    <w:rsid w:val="003A5881"/>
    <w:rsid w:val="003D16B0"/>
    <w:rsid w:val="003D2BBC"/>
    <w:rsid w:val="003F0AE1"/>
    <w:rsid w:val="004109B4"/>
    <w:rsid w:val="0043794E"/>
    <w:rsid w:val="004811F7"/>
    <w:rsid w:val="004A526C"/>
    <w:rsid w:val="004C5E96"/>
    <w:rsid w:val="0052632F"/>
    <w:rsid w:val="00532F1B"/>
    <w:rsid w:val="005406FA"/>
    <w:rsid w:val="00542D6F"/>
    <w:rsid w:val="005F103A"/>
    <w:rsid w:val="00625669"/>
    <w:rsid w:val="00652B65"/>
    <w:rsid w:val="00667066"/>
    <w:rsid w:val="00680A58"/>
    <w:rsid w:val="00685F9F"/>
    <w:rsid w:val="00693599"/>
    <w:rsid w:val="00694B8E"/>
    <w:rsid w:val="00696FF6"/>
    <w:rsid w:val="006D4579"/>
    <w:rsid w:val="006D739E"/>
    <w:rsid w:val="006E44D7"/>
    <w:rsid w:val="006E6811"/>
    <w:rsid w:val="006F0316"/>
    <w:rsid w:val="00704CEE"/>
    <w:rsid w:val="00720B98"/>
    <w:rsid w:val="007419E2"/>
    <w:rsid w:val="00744057"/>
    <w:rsid w:val="0076162A"/>
    <w:rsid w:val="0077049C"/>
    <w:rsid w:val="00771187"/>
    <w:rsid w:val="007857C3"/>
    <w:rsid w:val="00794B2D"/>
    <w:rsid w:val="007C245B"/>
    <w:rsid w:val="00802BA5"/>
    <w:rsid w:val="00812DE8"/>
    <w:rsid w:val="00855BAD"/>
    <w:rsid w:val="0088268E"/>
    <w:rsid w:val="008C0AF9"/>
    <w:rsid w:val="00951DC3"/>
    <w:rsid w:val="00957AA6"/>
    <w:rsid w:val="0097638C"/>
    <w:rsid w:val="009833DA"/>
    <w:rsid w:val="009D274B"/>
    <w:rsid w:val="009E29A5"/>
    <w:rsid w:val="00A2055F"/>
    <w:rsid w:val="00B07287"/>
    <w:rsid w:val="00B16382"/>
    <w:rsid w:val="00B415E0"/>
    <w:rsid w:val="00B54813"/>
    <w:rsid w:val="00B62E12"/>
    <w:rsid w:val="00B92A21"/>
    <w:rsid w:val="00B9733B"/>
    <w:rsid w:val="00C65488"/>
    <w:rsid w:val="00C81DEF"/>
    <w:rsid w:val="00C952D4"/>
    <w:rsid w:val="00CB0D83"/>
    <w:rsid w:val="00CB6625"/>
    <w:rsid w:val="00CE5DEB"/>
    <w:rsid w:val="00CF4755"/>
    <w:rsid w:val="00D11EA0"/>
    <w:rsid w:val="00D3344E"/>
    <w:rsid w:val="00D82F27"/>
    <w:rsid w:val="00D97BE8"/>
    <w:rsid w:val="00DC77A7"/>
    <w:rsid w:val="00DD669A"/>
    <w:rsid w:val="00DF04AC"/>
    <w:rsid w:val="00E2704F"/>
    <w:rsid w:val="00E76554"/>
    <w:rsid w:val="00E97C47"/>
    <w:rsid w:val="00EA38AA"/>
    <w:rsid w:val="00EB3BB8"/>
    <w:rsid w:val="00EF4DE2"/>
    <w:rsid w:val="00F11718"/>
    <w:rsid w:val="00F14B72"/>
    <w:rsid w:val="00F36267"/>
    <w:rsid w:val="00F402C5"/>
    <w:rsid w:val="00F40825"/>
    <w:rsid w:val="00F42FBD"/>
    <w:rsid w:val="00F710E2"/>
    <w:rsid w:val="00F870FA"/>
    <w:rsid w:val="00FB5BD4"/>
    <w:rsid w:val="00FD7BA5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170AF"/>
  <w15:docId w15:val="{B638C0A3-D939-4BB6-B1B9-DA3CA49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33DA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0D83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652B65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52B65"/>
    <w:rPr>
      <w:rFonts w:ascii="Times" w:eastAsia="Times" w:hAnsi="Times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652B6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652B65"/>
    <w:rPr>
      <w:rFonts w:ascii="Arial" w:eastAsia="Times New Roman" w:hAnsi="Arial" w:cs="Times New Roman"/>
      <w:sz w:val="20"/>
      <w:szCs w:val="20"/>
      <w:lang w:val="de-CH" w:eastAsia="de-DE"/>
    </w:rPr>
  </w:style>
  <w:style w:type="character" w:styleId="Funotenzeichen">
    <w:name w:val="footnote reference"/>
    <w:basedOn w:val="Absatz-Standardschriftart"/>
    <w:semiHidden/>
    <w:rsid w:val="00652B65"/>
    <w:rPr>
      <w:vertAlign w:val="superscript"/>
    </w:rPr>
  </w:style>
  <w:style w:type="table" w:styleId="Tabellenraster">
    <w:name w:val="Table Grid"/>
    <w:basedOn w:val="NormaleTabelle"/>
    <w:uiPriority w:val="59"/>
    <w:rsid w:val="00C95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Raster-Akzent11">
    <w:name w:val="Helles Raster - Akzent 11"/>
    <w:basedOn w:val="NormaleTabelle"/>
    <w:uiPriority w:val="62"/>
    <w:rsid w:val="00C952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A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FD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7BA5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B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7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7857C3"/>
    <w:rPr>
      <w:color w:val="0000FF" w:themeColor="hyperlink"/>
      <w:u w:val="single"/>
    </w:rPr>
  </w:style>
  <w:style w:type="paragraph" w:customStyle="1" w:styleId="Default">
    <w:name w:val="Default"/>
    <w:rsid w:val="00771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7A2A-7E4A-4446-B7CF-03FD6FAB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Volkswirtschaftslehre, Peter Eisenhut</vt:lpstr>
    </vt:vector>
  </TitlesOfParts>
  <Company> 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Volkswirtschaftslehre, Peter Eisenhut</dc:title>
  <dc:subject/>
  <dc:creator>Peter Eisenhut</dc:creator>
  <cp:keywords/>
  <dc:description/>
  <cp:lastModifiedBy>Peter Eisenhut</cp:lastModifiedBy>
  <cp:revision>4</cp:revision>
  <dcterms:created xsi:type="dcterms:W3CDTF">2018-05-04T12:39:00Z</dcterms:created>
  <dcterms:modified xsi:type="dcterms:W3CDTF">2018-05-04T15:01:00Z</dcterms:modified>
</cp:coreProperties>
</file>