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DA" w:rsidRDefault="009833DA" w:rsidP="009833DA">
      <w:pPr>
        <w:autoSpaceDE w:val="0"/>
        <w:autoSpaceDN w:val="0"/>
        <w:adjustRightInd w:val="0"/>
        <w:spacing w:after="0" w:line="240" w:lineRule="auto"/>
        <w:rPr>
          <w:rFonts w:cs="TimesTen-Bold"/>
          <w:b/>
          <w:bCs/>
        </w:rPr>
      </w:pPr>
      <w:r>
        <w:rPr>
          <w:rFonts w:cs="TimesTen-Bold"/>
          <w:b/>
          <w:bCs/>
        </w:rPr>
        <w:t>Lösungen</w:t>
      </w: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rPr>
      </w:pPr>
    </w:p>
    <w:p w:rsidR="007C245B" w:rsidRPr="009C45B1" w:rsidRDefault="009833DA" w:rsidP="007C245B">
      <w:pPr>
        <w:autoSpaceDE w:val="0"/>
        <w:autoSpaceDN w:val="0"/>
        <w:adjustRightInd w:val="0"/>
        <w:spacing w:after="0" w:line="240" w:lineRule="auto"/>
        <w:rPr>
          <w:rFonts w:cs="TimesTen-Bold"/>
          <w:b/>
          <w:bCs/>
          <w:sz w:val="32"/>
          <w:szCs w:val="32"/>
        </w:rPr>
      </w:pPr>
      <w:r>
        <w:rPr>
          <w:rFonts w:cs="TimesTen-Bold"/>
          <w:b/>
          <w:bCs/>
          <w:sz w:val="32"/>
          <w:szCs w:val="32"/>
        </w:rPr>
        <w:t xml:space="preserve">Repetitionsaufgaben </w:t>
      </w:r>
    </w:p>
    <w:p w:rsidR="007C245B" w:rsidRPr="007C245B" w:rsidRDefault="007C245B" w:rsidP="007C245B">
      <w:pPr>
        <w:autoSpaceDE w:val="0"/>
        <w:autoSpaceDN w:val="0"/>
        <w:adjustRightInd w:val="0"/>
        <w:spacing w:after="0" w:line="240" w:lineRule="auto"/>
        <w:rPr>
          <w:rFonts w:cs="TimesTen-Bold"/>
          <w:bCs/>
        </w:rPr>
      </w:pPr>
    </w:p>
    <w:p w:rsidR="009C45B1" w:rsidRPr="009C45B1" w:rsidRDefault="0002178F" w:rsidP="009C45B1">
      <w:pPr>
        <w:autoSpaceDE w:val="0"/>
        <w:autoSpaceDN w:val="0"/>
        <w:adjustRightInd w:val="0"/>
        <w:spacing w:after="0" w:line="240" w:lineRule="auto"/>
        <w:rPr>
          <w:rFonts w:cs="TimesTen-Bold"/>
          <w:b/>
          <w:bCs/>
        </w:rPr>
      </w:pPr>
      <w:r>
        <w:rPr>
          <w:rFonts w:cs="TimesTen-Bold"/>
          <w:b/>
          <w:bCs/>
        </w:rPr>
        <w:t>Kapitel 8</w:t>
      </w:r>
    </w:p>
    <w:p w:rsidR="00033D66" w:rsidRPr="009C45B1" w:rsidRDefault="00033D66" w:rsidP="00033D66">
      <w:pPr>
        <w:pStyle w:val="Listenabsatz"/>
        <w:autoSpaceDE w:val="0"/>
        <w:autoSpaceDN w:val="0"/>
        <w:adjustRightInd w:val="0"/>
        <w:spacing w:after="0" w:line="240" w:lineRule="auto"/>
        <w:ind w:left="1080"/>
        <w:rPr>
          <w:rFonts w:cs="TimesTen-Bold"/>
          <w:bCs/>
          <w:lang w:val="de-CH"/>
        </w:rPr>
      </w:pPr>
    </w:p>
    <w:p w:rsidR="009C45B1" w:rsidRDefault="006172C2" w:rsidP="009C45B1">
      <w:pPr>
        <w:pStyle w:val="Default"/>
        <w:numPr>
          <w:ilvl w:val="0"/>
          <w:numId w:val="12"/>
        </w:numPr>
        <w:rPr>
          <w:sz w:val="22"/>
          <w:szCs w:val="22"/>
        </w:rPr>
      </w:pPr>
      <w:r w:rsidRPr="006172C2">
        <w:rPr>
          <w:b/>
          <w:sz w:val="22"/>
          <w:szCs w:val="22"/>
        </w:rPr>
        <w:t>Zeichen des Strukturwandels:</w:t>
      </w:r>
      <w:r>
        <w:rPr>
          <w:sz w:val="22"/>
          <w:szCs w:val="22"/>
        </w:rPr>
        <w:t xml:space="preserve"> </w:t>
      </w:r>
      <w:r w:rsidR="009C45B1">
        <w:rPr>
          <w:sz w:val="22"/>
          <w:szCs w:val="22"/>
        </w:rPr>
        <w:t xml:space="preserve">Branchen- und </w:t>
      </w:r>
      <w:proofErr w:type="spellStart"/>
      <w:r w:rsidR="009C45B1">
        <w:rPr>
          <w:sz w:val="22"/>
          <w:szCs w:val="22"/>
        </w:rPr>
        <w:t>Sektorstruktur</w:t>
      </w:r>
      <w:proofErr w:type="spellEnd"/>
      <w:r w:rsidR="009C45B1">
        <w:rPr>
          <w:sz w:val="22"/>
          <w:szCs w:val="22"/>
        </w:rPr>
        <w:t xml:space="preserve">, Einkommensstrukturen, Unternehmensgrössen, Bevölkerung, Globalisierung. </w:t>
      </w:r>
    </w:p>
    <w:p w:rsidR="009C45B1" w:rsidRDefault="009C45B1" w:rsidP="009C45B1">
      <w:pPr>
        <w:pStyle w:val="Default"/>
      </w:pPr>
    </w:p>
    <w:p w:rsidR="00023547" w:rsidRDefault="006172C2" w:rsidP="00023547">
      <w:pPr>
        <w:pStyle w:val="Default"/>
        <w:numPr>
          <w:ilvl w:val="0"/>
          <w:numId w:val="12"/>
        </w:numPr>
        <w:rPr>
          <w:sz w:val="22"/>
          <w:szCs w:val="22"/>
        </w:rPr>
      </w:pPr>
      <w:r w:rsidRPr="006172C2">
        <w:rPr>
          <w:b/>
          <w:sz w:val="22"/>
          <w:szCs w:val="22"/>
        </w:rPr>
        <w:t>Gründe für den Strukturwandel:</w:t>
      </w:r>
      <w:r>
        <w:rPr>
          <w:sz w:val="22"/>
          <w:szCs w:val="22"/>
        </w:rPr>
        <w:t xml:space="preserve"> </w:t>
      </w:r>
      <w:proofErr w:type="spellStart"/>
      <w:r w:rsidR="009C45B1">
        <w:rPr>
          <w:sz w:val="22"/>
          <w:szCs w:val="22"/>
        </w:rPr>
        <w:t>Fourastié</w:t>
      </w:r>
      <w:proofErr w:type="spellEnd"/>
      <w:r w:rsidR="009C45B1">
        <w:rPr>
          <w:sz w:val="22"/>
          <w:szCs w:val="22"/>
        </w:rPr>
        <w:t xml:space="preserve"> ging davon aus, dass Nachfrage im primären und sekundären Sektor (aufgrund der Einkommenselastizität) pro Kopf mengenmässig stagnieren wird. Der Anstieg der Arbeitsproduktivität ist in der Landwirtschaft und im Industriesektor grösser als bei den Dienstleistungen. Folge: Eine gewisse Sättigung der Nachfrage bei gleichzeitig kräftiger Erhöhung der Arbeitsproduktivität führt </w:t>
      </w:r>
      <w:r w:rsidR="009C45B1" w:rsidRPr="009C45B1">
        <w:rPr>
          <w:rFonts w:cstheme="minorBidi"/>
          <w:color w:val="auto"/>
          <w:sz w:val="22"/>
          <w:szCs w:val="22"/>
        </w:rPr>
        <w:t xml:space="preserve">dazu, dass in den ersten beiden Sektoren weniger Arbeitskräfte beschäftigt werden können. Im Dienstleistungssektor bewirken die praktisch unbeschränkte Nachfrage und relativ kleine Fortschritte in der Arbeitsproduktivität, dass dieser Sektor wie ein Beschäftigungsmagnet wirkt. </w:t>
      </w:r>
    </w:p>
    <w:p w:rsidR="00023547" w:rsidRDefault="00023547" w:rsidP="00023547">
      <w:pPr>
        <w:pStyle w:val="Listenabsatz"/>
        <w:rPr>
          <w:b/>
          <w:bCs/>
        </w:rPr>
      </w:pPr>
    </w:p>
    <w:p w:rsidR="006172C2" w:rsidRPr="006172C2" w:rsidRDefault="006172C2" w:rsidP="002913D4">
      <w:pPr>
        <w:pStyle w:val="Default"/>
        <w:numPr>
          <w:ilvl w:val="0"/>
          <w:numId w:val="12"/>
        </w:numPr>
        <w:spacing w:after="120"/>
        <w:ind w:left="1077" w:hanging="357"/>
        <w:rPr>
          <w:sz w:val="22"/>
          <w:szCs w:val="22"/>
        </w:rPr>
      </w:pPr>
      <w:r>
        <w:rPr>
          <w:b/>
          <w:bCs/>
          <w:sz w:val="22"/>
          <w:szCs w:val="22"/>
        </w:rPr>
        <w:t>Ursachen für den Strukturwandel:</w:t>
      </w:r>
    </w:p>
    <w:p w:rsidR="002913D4" w:rsidRDefault="002913D4" w:rsidP="006172C2">
      <w:pPr>
        <w:pStyle w:val="Default"/>
        <w:spacing w:after="120"/>
        <w:ind w:left="369" w:firstLine="708"/>
        <w:rPr>
          <w:sz w:val="22"/>
          <w:szCs w:val="22"/>
        </w:rPr>
      </w:pPr>
      <w:r>
        <w:rPr>
          <w:b/>
          <w:bCs/>
          <w:sz w:val="22"/>
          <w:szCs w:val="22"/>
        </w:rPr>
        <w:t xml:space="preserve"> </w:t>
      </w:r>
      <w:r w:rsidR="00023547" w:rsidRPr="00023547">
        <w:rPr>
          <w:b/>
          <w:bCs/>
          <w:sz w:val="22"/>
          <w:szCs w:val="22"/>
        </w:rPr>
        <w:t xml:space="preserve">Nachfrageseite: </w:t>
      </w:r>
      <w:r w:rsidR="00023547" w:rsidRPr="00023547">
        <w:rPr>
          <w:sz w:val="22"/>
          <w:szCs w:val="22"/>
        </w:rPr>
        <w:t xml:space="preserve">Unterschiedliche Entwicklung der Nachfrage, neue Bedürfnisse. </w:t>
      </w:r>
      <w:r>
        <w:rPr>
          <w:sz w:val="22"/>
          <w:szCs w:val="22"/>
        </w:rPr>
        <w:t xml:space="preserve">  </w:t>
      </w:r>
    </w:p>
    <w:p w:rsidR="002913D4" w:rsidRDefault="00023547" w:rsidP="002913D4">
      <w:pPr>
        <w:pStyle w:val="Default"/>
        <w:spacing w:after="120"/>
        <w:ind w:left="1134"/>
        <w:rPr>
          <w:sz w:val="22"/>
          <w:szCs w:val="22"/>
        </w:rPr>
      </w:pPr>
      <w:r w:rsidRPr="002913D4">
        <w:rPr>
          <w:b/>
          <w:bCs/>
          <w:sz w:val="22"/>
          <w:szCs w:val="22"/>
        </w:rPr>
        <w:t xml:space="preserve">Angebotsseite: </w:t>
      </w:r>
      <w:r w:rsidRPr="002913D4">
        <w:rPr>
          <w:sz w:val="22"/>
          <w:szCs w:val="22"/>
        </w:rPr>
        <w:t xml:space="preserve">Technischer Fortschritt im Informations-, Kommunikations-, Steuerungs- und im Herstellungsbereich; neue Produkte, Marketingmethoden, Organisations- und Produktionsprozesse. </w:t>
      </w:r>
      <w:r w:rsidR="002913D4">
        <w:rPr>
          <w:sz w:val="22"/>
          <w:szCs w:val="22"/>
        </w:rPr>
        <w:t xml:space="preserve">   </w:t>
      </w:r>
    </w:p>
    <w:p w:rsidR="002913D4" w:rsidRDefault="00023547" w:rsidP="002913D4">
      <w:pPr>
        <w:pStyle w:val="Default"/>
        <w:spacing w:after="120"/>
        <w:ind w:left="1134"/>
        <w:rPr>
          <w:sz w:val="22"/>
          <w:szCs w:val="22"/>
        </w:rPr>
      </w:pPr>
      <w:r w:rsidRPr="002913D4">
        <w:rPr>
          <w:b/>
          <w:bCs/>
          <w:sz w:val="22"/>
          <w:szCs w:val="22"/>
        </w:rPr>
        <w:t xml:space="preserve">Rahmenbedingungen: </w:t>
      </w:r>
      <w:r w:rsidRPr="002913D4">
        <w:rPr>
          <w:sz w:val="22"/>
          <w:szCs w:val="22"/>
        </w:rPr>
        <w:t>Globalisierung (Öffnung des Ostblocks, Integration von weiteren Ländern in die Weltwirtschaft), erleichterte Direktinvestitionen und Öffnung der Finanzmärkte, fallende Transport- und Kommunikationskosten, regionale Integrationsbemühungen.</w:t>
      </w:r>
    </w:p>
    <w:p w:rsidR="002913D4" w:rsidRDefault="002913D4" w:rsidP="002913D4">
      <w:pPr>
        <w:pStyle w:val="Default"/>
        <w:spacing w:after="120"/>
        <w:ind w:left="1134"/>
        <w:rPr>
          <w:sz w:val="22"/>
          <w:szCs w:val="22"/>
        </w:rPr>
      </w:pPr>
    </w:p>
    <w:p w:rsidR="006172C2" w:rsidRPr="006172C2" w:rsidRDefault="002913D4" w:rsidP="002913D4">
      <w:pPr>
        <w:pStyle w:val="Default"/>
        <w:spacing w:after="120"/>
        <w:ind w:left="1134" w:hanging="425"/>
        <w:rPr>
          <w:b/>
          <w:sz w:val="22"/>
          <w:szCs w:val="22"/>
        </w:rPr>
      </w:pPr>
      <w:r>
        <w:rPr>
          <w:sz w:val="22"/>
          <w:szCs w:val="22"/>
        </w:rPr>
        <w:t xml:space="preserve">4.  </w:t>
      </w:r>
      <w:r w:rsidR="006172C2">
        <w:rPr>
          <w:sz w:val="22"/>
          <w:szCs w:val="22"/>
        </w:rPr>
        <w:t xml:space="preserve"> </w:t>
      </w:r>
      <w:r w:rsidR="006172C2" w:rsidRPr="006172C2">
        <w:rPr>
          <w:b/>
          <w:sz w:val="22"/>
          <w:szCs w:val="22"/>
        </w:rPr>
        <w:t>Wie zeigt sich der Strukturwandel:</w:t>
      </w:r>
    </w:p>
    <w:p w:rsidR="002913D4" w:rsidRDefault="002913D4" w:rsidP="002913D4">
      <w:pPr>
        <w:pStyle w:val="Default"/>
        <w:spacing w:after="120"/>
        <w:ind w:left="1134" w:hanging="425"/>
        <w:rPr>
          <w:sz w:val="22"/>
          <w:szCs w:val="22"/>
        </w:rPr>
      </w:pPr>
      <w:r>
        <w:rPr>
          <w:sz w:val="22"/>
          <w:szCs w:val="22"/>
        </w:rPr>
        <w:tab/>
        <w:t xml:space="preserve">a) Sektoren- und Branchenentwicklung: Starker Bedeutungsverlust der Landwirtschaft (Erwerbstätige und Wertschöpfungsanteil) und der Industrie (insbesondere bei den Erwerbstätigen). Zunehmende Bedeutung des Dienstleistungssektors. </w:t>
      </w:r>
    </w:p>
    <w:p w:rsidR="00033D66" w:rsidRDefault="002913D4" w:rsidP="002913D4">
      <w:pPr>
        <w:pStyle w:val="Listenabsatz"/>
        <w:spacing w:after="0" w:line="240" w:lineRule="auto"/>
        <w:ind w:left="1134"/>
        <w:contextualSpacing w:val="0"/>
      </w:pPr>
      <w:r>
        <w:t>b) Gewinner: Chemie, Elektrotechnik/Elektronik, Informatik, Telekommunikation. Verlierer: Gastgewerbe, Grafik/Druck, Steine/Erden, Textil/Bekleidung, Landwirtschaft und seit 2008 auch die Banken.</w:t>
      </w:r>
    </w:p>
    <w:p w:rsidR="002913D4" w:rsidRPr="00033D66" w:rsidRDefault="002913D4" w:rsidP="002913D4">
      <w:pPr>
        <w:pStyle w:val="Listenabsatz"/>
        <w:spacing w:after="0"/>
        <w:ind w:left="1134"/>
        <w:contextualSpacing w:val="0"/>
        <w:rPr>
          <w:rFonts w:cs="TimesTen-Bold"/>
          <w:bCs/>
        </w:rPr>
      </w:pPr>
    </w:p>
    <w:p w:rsidR="002913D4" w:rsidRPr="006172C2" w:rsidRDefault="002913D4" w:rsidP="002913D4">
      <w:pPr>
        <w:pStyle w:val="Default"/>
        <w:numPr>
          <w:ilvl w:val="0"/>
          <w:numId w:val="36"/>
        </w:numPr>
        <w:spacing w:after="120"/>
        <w:ind w:left="1134" w:hanging="425"/>
        <w:rPr>
          <w:b/>
        </w:rPr>
      </w:pPr>
      <w:r w:rsidRPr="006172C2">
        <w:rPr>
          <w:b/>
          <w:sz w:val="22"/>
          <w:szCs w:val="22"/>
        </w:rPr>
        <w:t xml:space="preserve">Konsequenzen des Strukturwandels auf Unternehmen und Staat: </w:t>
      </w:r>
    </w:p>
    <w:p w:rsidR="002913D4" w:rsidRDefault="002913D4" w:rsidP="002913D4">
      <w:pPr>
        <w:pStyle w:val="Default"/>
        <w:spacing w:after="120"/>
        <w:ind w:left="1440"/>
        <w:rPr>
          <w:sz w:val="22"/>
          <w:szCs w:val="22"/>
        </w:rPr>
      </w:pPr>
      <w:r>
        <w:rPr>
          <w:sz w:val="22"/>
          <w:szCs w:val="22"/>
        </w:rPr>
        <w:t xml:space="preserve">a) </w:t>
      </w:r>
      <w:r w:rsidRPr="006172C2">
        <w:rPr>
          <w:b/>
          <w:sz w:val="22"/>
          <w:szCs w:val="22"/>
        </w:rPr>
        <w:t>Konsequenzen</w:t>
      </w:r>
      <w:r>
        <w:rPr>
          <w:sz w:val="22"/>
          <w:szCs w:val="22"/>
        </w:rPr>
        <w:t xml:space="preserve">: Erhöhter Konkurrenz- und damit Margen- und Preisdruck; Zwang zur Herstellung von wertschöpfungsintensiven Produkten und Dienstleistungen steigt, Produktionsfaktor «Wissen» gewinnt an Bedeutung. Herausforderungen: Steigerung der Leistungs- und der Innovationsfähigkeit durch Höherqualifizierung der Mitarbeiter, Senkung der Stückkosten usw. </w:t>
      </w:r>
    </w:p>
    <w:p w:rsidR="002913D4" w:rsidRDefault="002913D4" w:rsidP="002913D4">
      <w:pPr>
        <w:pStyle w:val="Default"/>
        <w:ind w:left="1440"/>
        <w:rPr>
          <w:sz w:val="22"/>
          <w:szCs w:val="22"/>
        </w:rPr>
      </w:pPr>
      <w:r>
        <w:rPr>
          <w:sz w:val="22"/>
          <w:szCs w:val="22"/>
        </w:rPr>
        <w:t xml:space="preserve">b) </w:t>
      </w:r>
      <w:r w:rsidR="006172C2" w:rsidRPr="006172C2">
        <w:rPr>
          <w:b/>
          <w:sz w:val="22"/>
          <w:szCs w:val="22"/>
        </w:rPr>
        <w:t>Instrumente:</w:t>
      </w:r>
      <w:r w:rsidR="006172C2">
        <w:rPr>
          <w:sz w:val="22"/>
          <w:szCs w:val="22"/>
        </w:rPr>
        <w:t xml:space="preserve"> </w:t>
      </w:r>
      <w:r>
        <w:rPr>
          <w:sz w:val="22"/>
          <w:szCs w:val="22"/>
        </w:rPr>
        <w:t xml:space="preserve">Strukturerhaltung, Strukturanpassung und Strukturgestaltung. </w:t>
      </w:r>
    </w:p>
    <w:p w:rsidR="002913D4" w:rsidRDefault="002913D4" w:rsidP="002913D4">
      <w:pPr>
        <w:pStyle w:val="Default"/>
      </w:pPr>
    </w:p>
    <w:p w:rsidR="002913D4" w:rsidRDefault="002913D4" w:rsidP="002913D4">
      <w:pPr>
        <w:pStyle w:val="Default"/>
        <w:ind w:left="1134" w:hanging="425"/>
        <w:rPr>
          <w:sz w:val="22"/>
          <w:szCs w:val="22"/>
        </w:rPr>
      </w:pPr>
      <w:r>
        <w:rPr>
          <w:sz w:val="22"/>
          <w:szCs w:val="22"/>
        </w:rPr>
        <w:lastRenderedPageBreak/>
        <w:t xml:space="preserve">6. </w:t>
      </w:r>
      <w:r>
        <w:rPr>
          <w:sz w:val="22"/>
          <w:szCs w:val="22"/>
        </w:rPr>
        <w:tab/>
      </w:r>
      <w:r w:rsidR="006172C2" w:rsidRPr="006172C2">
        <w:rPr>
          <w:b/>
          <w:sz w:val="22"/>
          <w:szCs w:val="22"/>
        </w:rPr>
        <w:t>Verschärfung des Standortwettbewerbs:</w:t>
      </w:r>
      <w:r w:rsidR="006172C2">
        <w:rPr>
          <w:sz w:val="22"/>
          <w:szCs w:val="22"/>
        </w:rPr>
        <w:t xml:space="preserve"> </w:t>
      </w:r>
      <w:r>
        <w:rPr>
          <w:sz w:val="22"/>
          <w:szCs w:val="22"/>
        </w:rPr>
        <w:t xml:space="preserve">Je billiger es ist, Produktionsstandorte international zu verlagern, je leichter sich die Produktionsfaktoren international verschieben lassen, desto grösser wird der Wettbewerb der Standorte. Denn die immer mobiler werdenden Faktoren wandern dorthin, wo ihr Ertrag am höchsten ist. </w:t>
      </w:r>
    </w:p>
    <w:p w:rsidR="002913D4" w:rsidRDefault="002913D4" w:rsidP="002913D4">
      <w:pPr>
        <w:pStyle w:val="Default"/>
        <w:rPr>
          <w:sz w:val="22"/>
          <w:szCs w:val="22"/>
        </w:rPr>
      </w:pPr>
    </w:p>
    <w:p w:rsidR="002913D4" w:rsidRDefault="002913D4" w:rsidP="005B4E72">
      <w:pPr>
        <w:pStyle w:val="Default"/>
        <w:spacing w:after="120"/>
        <w:ind w:left="1134" w:hanging="425"/>
        <w:rPr>
          <w:sz w:val="22"/>
          <w:szCs w:val="22"/>
        </w:rPr>
      </w:pPr>
      <w:r>
        <w:rPr>
          <w:sz w:val="22"/>
          <w:szCs w:val="22"/>
        </w:rPr>
        <w:t xml:space="preserve">7. </w:t>
      </w:r>
      <w:r>
        <w:rPr>
          <w:sz w:val="22"/>
          <w:szCs w:val="22"/>
        </w:rPr>
        <w:tab/>
        <w:t xml:space="preserve">Konjunktur-, Wachstums- und Strukturpolitik: </w:t>
      </w:r>
    </w:p>
    <w:p w:rsidR="002913D4" w:rsidRDefault="002913D4" w:rsidP="005B4E72">
      <w:pPr>
        <w:pStyle w:val="Default"/>
        <w:spacing w:after="120"/>
        <w:ind w:left="1134"/>
        <w:rPr>
          <w:sz w:val="22"/>
          <w:szCs w:val="22"/>
        </w:rPr>
      </w:pPr>
      <w:r>
        <w:rPr>
          <w:sz w:val="22"/>
          <w:szCs w:val="22"/>
        </w:rPr>
        <w:t xml:space="preserve">a) </w:t>
      </w:r>
      <w:proofErr w:type="gramStart"/>
      <w:r w:rsidR="006172C2" w:rsidRPr="006172C2">
        <w:rPr>
          <w:b/>
          <w:sz w:val="22"/>
          <w:szCs w:val="22"/>
        </w:rPr>
        <w:t>Konjunkturelle</w:t>
      </w:r>
      <w:proofErr w:type="gramEnd"/>
      <w:r w:rsidR="006172C2" w:rsidRPr="006172C2">
        <w:rPr>
          <w:b/>
          <w:sz w:val="22"/>
          <w:szCs w:val="22"/>
        </w:rPr>
        <w:t xml:space="preserve"> Probleme:</w:t>
      </w:r>
      <w:r w:rsidR="006172C2">
        <w:rPr>
          <w:sz w:val="22"/>
          <w:szCs w:val="22"/>
        </w:rPr>
        <w:t xml:space="preserve"> </w:t>
      </w:r>
      <w:r>
        <w:rPr>
          <w:sz w:val="22"/>
          <w:szCs w:val="22"/>
        </w:rPr>
        <w:t xml:space="preserve">Konjunkturelle Arbeitslosigkeit, Inflation, Wechselkursschwankungen. </w:t>
      </w:r>
    </w:p>
    <w:p w:rsidR="002913D4" w:rsidRDefault="002913D4" w:rsidP="005B4E72">
      <w:pPr>
        <w:pStyle w:val="Default"/>
        <w:spacing w:after="120"/>
        <w:ind w:left="1134"/>
        <w:rPr>
          <w:sz w:val="22"/>
          <w:szCs w:val="22"/>
        </w:rPr>
      </w:pPr>
      <w:r>
        <w:rPr>
          <w:sz w:val="22"/>
          <w:szCs w:val="22"/>
        </w:rPr>
        <w:t xml:space="preserve">b) </w:t>
      </w:r>
      <w:r w:rsidR="006172C2" w:rsidRPr="006172C2">
        <w:rPr>
          <w:b/>
          <w:sz w:val="22"/>
          <w:szCs w:val="22"/>
        </w:rPr>
        <w:t>Ziele der Wachstumspolitik:</w:t>
      </w:r>
      <w:r w:rsidR="006172C2">
        <w:rPr>
          <w:sz w:val="22"/>
          <w:szCs w:val="22"/>
        </w:rPr>
        <w:t xml:space="preserve"> </w:t>
      </w:r>
      <w:r>
        <w:rPr>
          <w:sz w:val="22"/>
          <w:szCs w:val="22"/>
        </w:rPr>
        <w:t xml:space="preserve">Maximale langfristige Hebung der Wohlfahrt, nachhaltige Entwicklung. </w:t>
      </w:r>
    </w:p>
    <w:p w:rsidR="002913D4" w:rsidRDefault="002913D4" w:rsidP="005B4E72">
      <w:pPr>
        <w:pStyle w:val="Default"/>
        <w:spacing w:after="120"/>
        <w:ind w:left="1134"/>
        <w:rPr>
          <w:sz w:val="22"/>
          <w:szCs w:val="22"/>
        </w:rPr>
      </w:pPr>
      <w:r>
        <w:rPr>
          <w:sz w:val="22"/>
          <w:szCs w:val="22"/>
        </w:rPr>
        <w:t xml:space="preserve">c) </w:t>
      </w:r>
      <w:bookmarkStart w:id="0" w:name="_GoBack"/>
      <w:r w:rsidR="006172C2" w:rsidRPr="006172C2">
        <w:rPr>
          <w:b/>
          <w:sz w:val="22"/>
          <w:szCs w:val="22"/>
        </w:rPr>
        <w:t>Instrumente der Strukturpolitik:</w:t>
      </w:r>
      <w:r w:rsidR="006172C2">
        <w:rPr>
          <w:sz w:val="22"/>
          <w:szCs w:val="22"/>
        </w:rPr>
        <w:t xml:space="preserve"> </w:t>
      </w:r>
      <w:bookmarkEnd w:id="0"/>
      <w:r>
        <w:rPr>
          <w:sz w:val="22"/>
          <w:szCs w:val="22"/>
        </w:rPr>
        <w:t xml:space="preserve">Subventionen und Protektionismus (Strukturerhaltung), Umschulungs- und Umsiedlungshilfen (Strukturanpassung), Investitionsbeiträge (Strukturgestaltung). </w:t>
      </w:r>
    </w:p>
    <w:p w:rsidR="00DD669A" w:rsidRPr="009833DA" w:rsidRDefault="00DD669A" w:rsidP="005B4E72">
      <w:pPr>
        <w:ind w:left="1134"/>
      </w:pPr>
    </w:p>
    <w:sectPr w:rsidR="00DD669A" w:rsidRPr="009833DA" w:rsidSect="00957AA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18" w:rsidRDefault="00F11718" w:rsidP="00652B65">
      <w:pPr>
        <w:spacing w:after="0" w:line="240" w:lineRule="auto"/>
      </w:pPr>
      <w:r>
        <w:separator/>
      </w:r>
    </w:p>
  </w:endnote>
  <w:endnote w:type="continuationSeparator" w:id="0">
    <w:p w:rsidR="00F11718" w:rsidRDefault="00F11718" w:rsidP="0065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18" w:rsidRDefault="00F11718" w:rsidP="00652B65">
      <w:pPr>
        <w:spacing w:after="0" w:line="240" w:lineRule="auto"/>
      </w:pPr>
      <w:r>
        <w:separator/>
      </w:r>
    </w:p>
  </w:footnote>
  <w:footnote w:type="continuationSeparator" w:id="0">
    <w:p w:rsidR="00F11718" w:rsidRDefault="00F11718" w:rsidP="0065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18" w:rsidRPr="007419E2" w:rsidRDefault="00F11718">
    <w:pPr>
      <w:pStyle w:val="Kopfzeile"/>
      <w:pBdr>
        <w:bottom w:val="single" w:sz="12" w:space="1" w:color="auto"/>
      </w:pBdr>
      <w:rPr>
        <w:sz w:val="16"/>
        <w:szCs w:val="16"/>
        <w:lang w:val="de-CH"/>
      </w:rPr>
    </w:pPr>
    <w:r>
      <w:rPr>
        <w:sz w:val="16"/>
        <w:szCs w:val="16"/>
        <w:lang w:val="de-CH"/>
      </w:rPr>
      <w:t xml:space="preserve">Lösungen zu den Repetitionsfragen, </w:t>
    </w:r>
    <w:r w:rsidRPr="00F36267">
      <w:rPr>
        <w:sz w:val="16"/>
        <w:szCs w:val="16"/>
        <w:lang w:val="de-CH"/>
      </w:rPr>
      <w:t>Aktuelle Volkswirtschaftslehre, Peter Eisenhut</w:t>
    </w:r>
    <w:r>
      <w:rPr>
        <w:lang w:val="de-CH"/>
      </w:rPr>
      <w:tab/>
    </w:r>
    <w:r w:rsidRPr="00F36267">
      <w:rPr>
        <w:noProof/>
        <w:lang w:eastAsia="de-DE"/>
      </w:rPr>
      <w:drawing>
        <wp:inline distT="0" distB="0" distL="0" distR="0">
          <wp:extent cx="300654" cy="318052"/>
          <wp:effectExtent l="19050" t="0" r="4146" b="0"/>
          <wp:docPr id="3" name="Bild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303962" cy="321552"/>
                  </a:xfrm>
                  <a:prstGeom prst="rect">
                    <a:avLst/>
                  </a:prstGeom>
                  <a:noFill/>
                  <a:ln w="9525">
                    <a:noFill/>
                    <a:miter lim="800000"/>
                    <a:headEnd/>
                    <a:tailEnd/>
                  </a:ln>
                  <a:effectLst/>
                </pic:spPr>
              </pic:pic>
            </a:graphicData>
          </a:graphic>
        </wp:inline>
      </w:drawing>
    </w:r>
  </w:p>
  <w:p w:rsidR="00F11718" w:rsidRPr="00F36267" w:rsidRDefault="00F11718">
    <w:pPr>
      <w:pStyle w:val="Kopfzeile"/>
      <w:rPr>
        <w:lang w:val="de-CH"/>
      </w:rPr>
    </w:pP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47B"/>
    <w:multiLevelType w:val="hybridMultilevel"/>
    <w:tmpl w:val="B4FE198C"/>
    <w:lvl w:ilvl="0" w:tplc="28A4910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48061A"/>
    <w:multiLevelType w:val="hybridMultilevel"/>
    <w:tmpl w:val="9F1C83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A6A86"/>
    <w:multiLevelType w:val="hybridMultilevel"/>
    <w:tmpl w:val="A03EE02C"/>
    <w:lvl w:ilvl="0" w:tplc="F6F0017E">
      <w:start w:val="1"/>
      <w:numFmt w:val="lowerLetter"/>
      <w:lvlText w:val="%1)"/>
      <w:lvlJc w:val="left"/>
      <w:pPr>
        <w:ind w:left="1069" w:hanging="360"/>
      </w:pPr>
      <w:rPr>
        <w:rFonts w:cs="TimesTen-Bold"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099B274A"/>
    <w:multiLevelType w:val="hybridMultilevel"/>
    <w:tmpl w:val="F11412BC"/>
    <w:lvl w:ilvl="0" w:tplc="B2EC8B8C">
      <w:start w:val="1"/>
      <w:numFmt w:val="lowerLetter"/>
      <w:lvlText w:val="%1)"/>
      <w:lvlJc w:val="left"/>
      <w:pPr>
        <w:ind w:left="1440" w:hanging="360"/>
      </w:pPr>
      <w:rPr>
        <w:rFonts w:cs="TimesTen-Bold"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C304A7"/>
    <w:multiLevelType w:val="hybridMultilevel"/>
    <w:tmpl w:val="24E6DB34"/>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BA0DB8"/>
    <w:multiLevelType w:val="hybridMultilevel"/>
    <w:tmpl w:val="43EE6DBC"/>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200E03"/>
    <w:multiLevelType w:val="hybridMultilevel"/>
    <w:tmpl w:val="D2664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9C1E33"/>
    <w:multiLevelType w:val="hybridMultilevel"/>
    <w:tmpl w:val="7BB6647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6F6235B"/>
    <w:multiLevelType w:val="hybridMultilevel"/>
    <w:tmpl w:val="14C4E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547DE"/>
    <w:multiLevelType w:val="hybridMultilevel"/>
    <w:tmpl w:val="31B68BEA"/>
    <w:lvl w:ilvl="0" w:tplc="73F60B2E">
      <w:start w:val="1"/>
      <w:numFmt w:val="bullet"/>
      <w:lvlText w:val="-"/>
      <w:lvlJc w:val="left"/>
      <w:pPr>
        <w:ind w:left="1080" w:hanging="360"/>
      </w:pPr>
      <w:rPr>
        <w:rFonts w:ascii="Calibri" w:eastAsiaTheme="minorHAnsi" w:hAnsi="Calibri" w:cs="TimesTen-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82909B1"/>
    <w:multiLevelType w:val="hybridMultilevel"/>
    <w:tmpl w:val="4B322784"/>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A710B13"/>
    <w:multiLevelType w:val="hybridMultilevel"/>
    <w:tmpl w:val="CDA863A6"/>
    <w:lvl w:ilvl="0" w:tplc="9B987FF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12A747D"/>
    <w:multiLevelType w:val="hybridMultilevel"/>
    <w:tmpl w:val="57827A20"/>
    <w:lvl w:ilvl="0" w:tplc="4B1AAF2A">
      <w:start w:val="5"/>
      <w:numFmt w:val="decimal"/>
      <w:lvlText w:val="%1."/>
      <w:lvlJc w:val="left"/>
      <w:pPr>
        <w:ind w:left="1440" w:hanging="360"/>
      </w:pPr>
      <w:rPr>
        <w:rFonts w:cs="TimesTen-Roman"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1742A03"/>
    <w:multiLevelType w:val="hybridMultilevel"/>
    <w:tmpl w:val="DE3E9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BC0132"/>
    <w:multiLevelType w:val="hybridMultilevel"/>
    <w:tmpl w:val="FBC8A9A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D75165"/>
    <w:multiLevelType w:val="hybridMultilevel"/>
    <w:tmpl w:val="FBC8A9A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B0358C"/>
    <w:multiLevelType w:val="hybridMultilevel"/>
    <w:tmpl w:val="1960C54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290F68F4"/>
    <w:multiLevelType w:val="hybridMultilevel"/>
    <w:tmpl w:val="E054ABD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C63DE9"/>
    <w:multiLevelType w:val="hybridMultilevel"/>
    <w:tmpl w:val="C3C29A0A"/>
    <w:lvl w:ilvl="0" w:tplc="372048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3D76E13"/>
    <w:multiLevelType w:val="hybridMultilevel"/>
    <w:tmpl w:val="43047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804A9A"/>
    <w:multiLevelType w:val="hybridMultilevel"/>
    <w:tmpl w:val="3DC64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0A72E9"/>
    <w:multiLevelType w:val="hybridMultilevel"/>
    <w:tmpl w:val="68AE4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B93E65"/>
    <w:multiLevelType w:val="hybridMultilevel"/>
    <w:tmpl w:val="6F44096A"/>
    <w:lvl w:ilvl="0" w:tplc="9E968136">
      <w:start w:val="1"/>
      <w:numFmt w:val="lowerLetter"/>
      <w:lvlText w:val="%1)"/>
      <w:lvlJc w:val="left"/>
      <w:pPr>
        <w:ind w:left="1428" w:hanging="360"/>
      </w:pPr>
      <w:rPr>
        <w:rFonts w:cs="TimesTen-Roman"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46DA5073"/>
    <w:multiLevelType w:val="hybridMultilevel"/>
    <w:tmpl w:val="D2D8439E"/>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85B046B"/>
    <w:multiLevelType w:val="hybridMultilevel"/>
    <w:tmpl w:val="68424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45BAD"/>
    <w:multiLevelType w:val="hybridMultilevel"/>
    <w:tmpl w:val="A32EC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E65C05"/>
    <w:multiLevelType w:val="hybridMultilevel"/>
    <w:tmpl w:val="4532F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BC24D5"/>
    <w:multiLevelType w:val="hybridMultilevel"/>
    <w:tmpl w:val="5E30A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686DEF"/>
    <w:multiLevelType w:val="hybridMultilevel"/>
    <w:tmpl w:val="58A62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5E5428"/>
    <w:multiLevelType w:val="hybridMultilevel"/>
    <w:tmpl w:val="1A2C487A"/>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5B9D56FD"/>
    <w:multiLevelType w:val="hybridMultilevel"/>
    <w:tmpl w:val="0290C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8820B6"/>
    <w:multiLevelType w:val="hybridMultilevel"/>
    <w:tmpl w:val="F1EEB852"/>
    <w:lvl w:ilvl="0" w:tplc="67ACCD56">
      <w:start w:val="1"/>
      <w:numFmt w:val="lowerLetter"/>
      <w:lvlText w:val="%1)"/>
      <w:lvlJc w:val="left"/>
      <w:pPr>
        <w:ind w:left="1068" w:hanging="360"/>
      </w:pPr>
      <w:rPr>
        <w:rFonts w:cs="TimesTen-Bold"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60C95737"/>
    <w:multiLevelType w:val="hybridMultilevel"/>
    <w:tmpl w:val="98A6A55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617947"/>
    <w:multiLevelType w:val="hybridMultilevel"/>
    <w:tmpl w:val="BB9A7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140CEB"/>
    <w:multiLevelType w:val="hybridMultilevel"/>
    <w:tmpl w:val="71D8CD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FD731CB"/>
    <w:multiLevelType w:val="hybridMultilevel"/>
    <w:tmpl w:val="FBC8D874"/>
    <w:lvl w:ilvl="0" w:tplc="3E581B2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0"/>
  </w:num>
  <w:num w:numId="2">
    <w:abstractNumId w:val="26"/>
  </w:num>
  <w:num w:numId="3">
    <w:abstractNumId w:val="13"/>
  </w:num>
  <w:num w:numId="4">
    <w:abstractNumId w:val="27"/>
  </w:num>
  <w:num w:numId="5">
    <w:abstractNumId w:val="30"/>
  </w:num>
  <w:num w:numId="6">
    <w:abstractNumId w:val="24"/>
  </w:num>
  <w:num w:numId="7">
    <w:abstractNumId w:val="4"/>
  </w:num>
  <w:num w:numId="8">
    <w:abstractNumId w:val="6"/>
  </w:num>
  <w:num w:numId="9">
    <w:abstractNumId w:val="9"/>
  </w:num>
  <w:num w:numId="10">
    <w:abstractNumId w:val="34"/>
  </w:num>
  <w:num w:numId="11">
    <w:abstractNumId w:val="29"/>
  </w:num>
  <w:num w:numId="12">
    <w:abstractNumId w:val="15"/>
  </w:num>
  <w:num w:numId="13">
    <w:abstractNumId w:val="11"/>
  </w:num>
  <w:num w:numId="14">
    <w:abstractNumId w:val="35"/>
  </w:num>
  <w:num w:numId="15">
    <w:abstractNumId w:val="16"/>
  </w:num>
  <w:num w:numId="16">
    <w:abstractNumId w:val="19"/>
  </w:num>
  <w:num w:numId="17">
    <w:abstractNumId w:val="7"/>
  </w:num>
  <w:num w:numId="18">
    <w:abstractNumId w:val="1"/>
  </w:num>
  <w:num w:numId="19">
    <w:abstractNumId w:val="8"/>
  </w:num>
  <w:num w:numId="20">
    <w:abstractNumId w:val="28"/>
  </w:num>
  <w:num w:numId="21">
    <w:abstractNumId w:val="10"/>
  </w:num>
  <w:num w:numId="22">
    <w:abstractNumId w:val="25"/>
  </w:num>
  <w:num w:numId="23">
    <w:abstractNumId w:val="21"/>
  </w:num>
  <w:num w:numId="24">
    <w:abstractNumId w:val="23"/>
  </w:num>
  <w:num w:numId="25">
    <w:abstractNumId w:val="32"/>
  </w:num>
  <w:num w:numId="26">
    <w:abstractNumId w:val="3"/>
  </w:num>
  <w:num w:numId="27">
    <w:abstractNumId w:val="33"/>
  </w:num>
  <w:num w:numId="28">
    <w:abstractNumId w:val="5"/>
  </w:num>
  <w:num w:numId="29">
    <w:abstractNumId w:val="18"/>
  </w:num>
  <w:num w:numId="30">
    <w:abstractNumId w:val="17"/>
  </w:num>
  <w:num w:numId="31">
    <w:abstractNumId w:val="2"/>
  </w:num>
  <w:num w:numId="32">
    <w:abstractNumId w:val="31"/>
  </w:num>
  <w:num w:numId="33">
    <w:abstractNumId w:val="22"/>
  </w:num>
  <w:num w:numId="34">
    <w:abstractNumId w:val="0"/>
  </w:num>
  <w:num w:numId="35">
    <w:abstractNumId w:val="14"/>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5"/>
    <w:rsid w:val="00003C13"/>
    <w:rsid w:val="0002178F"/>
    <w:rsid w:val="00023547"/>
    <w:rsid w:val="00033D66"/>
    <w:rsid w:val="00033E32"/>
    <w:rsid w:val="000418F7"/>
    <w:rsid w:val="00041EE4"/>
    <w:rsid w:val="00072B69"/>
    <w:rsid w:val="0007659D"/>
    <w:rsid w:val="000A3388"/>
    <w:rsid w:val="000E4EF7"/>
    <w:rsid w:val="000F376B"/>
    <w:rsid w:val="001748D8"/>
    <w:rsid w:val="00207F6B"/>
    <w:rsid w:val="0025305C"/>
    <w:rsid w:val="0025381B"/>
    <w:rsid w:val="002913D4"/>
    <w:rsid w:val="002C3627"/>
    <w:rsid w:val="002D7FA2"/>
    <w:rsid w:val="00324644"/>
    <w:rsid w:val="00367632"/>
    <w:rsid w:val="003730AA"/>
    <w:rsid w:val="0038088B"/>
    <w:rsid w:val="00391839"/>
    <w:rsid w:val="003A5881"/>
    <w:rsid w:val="003D16B0"/>
    <w:rsid w:val="003D2BBC"/>
    <w:rsid w:val="003F0AE1"/>
    <w:rsid w:val="004109B4"/>
    <w:rsid w:val="0043794E"/>
    <w:rsid w:val="004811F7"/>
    <w:rsid w:val="004A526C"/>
    <w:rsid w:val="004C5E96"/>
    <w:rsid w:val="0052632F"/>
    <w:rsid w:val="00532F1B"/>
    <w:rsid w:val="005406FA"/>
    <w:rsid w:val="00542D6F"/>
    <w:rsid w:val="005B4E72"/>
    <w:rsid w:val="005F103A"/>
    <w:rsid w:val="006172C2"/>
    <w:rsid w:val="00625669"/>
    <w:rsid w:val="00652B65"/>
    <w:rsid w:val="00680A58"/>
    <w:rsid w:val="00685F9F"/>
    <w:rsid w:val="00693599"/>
    <w:rsid w:val="00694B8E"/>
    <w:rsid w:val="00696FF6"/>
    <w:rsid w:val="006D4579"/>
    <w:rsid w:val="006D739E"/>
    <w:rsid w:val="006E44D7"/>
    <w:rsid w:val="006E6811"/>
    <w:rsid w:val="006F0316"/>
    <w:rsid w:val="00704CEE"/>
    <w:rsid w:val="00720B98"/>
    <w:rsid w:val="007419E2"/>
    <w:rsid w:val="00744057"/>
    <w:rsid w:val="0076162A"/>
    <w:rsid w:val="0077049C"/>
    <w:rsid w:val="007857C3"/>
    <w:rsid w:val="00794B2D"/>
    <w:rsid w:val="007C245B"/>
    <w:rsid w:val="00802BA5"/>
    <w:rsid w:val="00812DE8"/>
    <w:rsid w:val="00855BAD"/>
    <w:rsid w:val="0088268E"/>
    <w:rsid w:val="00951DC3"/>
    <w:rsid w:val="00957AA6"/>
    <w:rsid w:val="0097638C"/>
    <w:rsid w:val="009833DA"/>
    <w:rsid w:val="009C45B1"/>
    <w:rsid w:val="009D274B"/>
    <w:rsid w:val="009E29A5"/>
    <w:rsid w:val="00A2055F"/>
    <w:rsid w:val="00B07287"/>
    <w:rsid w:val="00B16382"/>
    <w:rsid w:val="00B415E0"/>
    <w:rsid w:val="00B54813"/>
    <w:rsid w:val="00B62E12"/>
    <w:rsid w:val="00B92A21"/>
    <w:rsid w:val="00B9733B"/>
    <w:rsid w:val="00C65488"/>
    <w:rsid w:val="00C81DEF"/>
    <w:rsid w:val="00C952D4"/>
    <w:rsid w:val="00CB0D83"/>
    <w:rsid w:val="00CB6625"/>
    <w:rsid w:val="00CE5DEB"/>
    <w:rsid w:val="00CF4755"/>
    <w:rsid w:val="00D11EA0"/>
    <w:rsid w:val="00D3344E"/>
    <w:rsid w:val="00D82F27"/>
    <w:rsid w:val="00D97BE8"/>
    <w:rsid w:val="00DC77A7"/>
    <w:rsid w:val="00DD669A"/>
    <w:rsid w:val="00DF04AC"/>
    <w:rsid w:val="00E2704F"/>
    <w:rsid w:val="00E76554"/>
    <w:rsid w:val="00E97C47"/>
    <w:rsid w:val="00EA38AA"/>
    <w:rsid w:val="00EB3BB8"/>
    <w:rsid w:val="00EF4DE2"/>
    <w:rsid w:val="00F11718"/>
    <w:rsid w:val="00F14B72"/>
    <w:rsid w:val="00F36267"/>
    <w:rsid w:val="00F402C5"/>
    <w:rsid w:val="00F40825"/>
    <w:rsid w:val="00F42FBD"/>
    <w:rsid w:val="00F710E2"/>
    <w:rsid w:val="00F870FA"/>
    <w:rsid w:val="00FB5BD4"/>
    <w:rsid w:val="00FD7BA5"/>
    <w:rsid w:val="00FF1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13A7"/>
  <w15:docId w15:val="{B638C0A3-D939-4BB6-B1B9-DA3CA49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3DA"/>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D83"/>
    <w:pPr>
      <w:ind w:left="720"/>
      <w:contextualSpacing/>
    </w:pPr>
  </w:style>
  <w:style w:type="paragraph" w:styleId="Textkrper">
    <w:name w:val="Body Text"/>
    <w:basedOn w:val="Standard"/>
    <w:link w:val="TextkrperZchn"/>
    <w:semiHidden/>
    <w:rsid w:val="00652B65"/>
    <w:pPr>
      <w:spacing w:after="0" w:line="240" w:lineRule="auto"/>
      <w:jc w:val="both"/>
    </w:pPr>
    <w:rPr>
      <w:rFonts w:ascii="Times" w:eastAsia="Times" w:hAnsi="Times" w:cs="Times New Roman"/>
      <w:sz w:val="24"/>
      <w:szCs w:val="20"/>
      <w:lang w:eastAsia="de-DE"/>
    </w:rPr>
  </w:style>
  <w:style w:type="character" w:customStyle="1" w:styleId="TextkrperZchn">
    <w:name w:val="Textkörper Zchn"/>
    <w:basedOn w:val="Absatz-Standardschriftart"/>
    <w:link w:val="Textkrper"/>
    <w:semiHidden/>
    <w:rsid w:val="00652B65"/>
    <w:rPr>
      <w:rFonts w:ascii="Times" w:eastAsia="Times" w:hAnsi="Times" w:cs="Times New Roman"/>
      <w:sz w:val="24"/>
      <w:szCs w:val="20"/>
      <w:lang w:eastAsia="de-DE"/>
    </w:rPr>
  </w:style>
  <w:style w:type="paragraph" w:styleId="Funotentext">
    <w:name w:val="footnote text"/>
    <w:basedOn w:val="Standard"/>
    <w:link w:val="FunotentextZchn"/>
    <w:semiHidden/>
    <w:rsid w:val="00652B65"/>
    <w:pPr>
      <w:spacing w:after="0" w:line="240" w:lineRule="auto"/>
    </w:pPr>
    <w:rPr>
      <w:rFonts w:ascii="Arial" w:eastAsia="Times New Roman" w:hAnsi="Arial" w:cs="Times New Roman"/>
      <w:sz w:val="20"/>
      <w:szCs w:val="20"/>
      <w:lang w:val="de-CH" w:eastAsia="de-DE"/>
    </w:rPr>
  </w:style>
  <w:style w:type="character" w:customStyle="1" w:styleId="FunotentextZchn">
    <w:name w:val="Fußnotentext Zchn"/>
    <w:basedOn w:val="Absatz-Standardschriftart"/>
    <w:link w:val="Funotentext"/>
    <w:semiHidden/>
    <w:rsid w:val="00652B65"/>
    <w:rPr>
      <w:rFonts w:ascii="Arial" w:eastAsia="Times New Roman" w:hAnsi="Arial" w:cs="Times New Roman"/>
      <w:sz w:val="20"/>
      <w:szCs w:val="20"/>
      <w:lang w:val="de-CH" w:eastAsia="de-DE"/>
    </w:rPr>
  </w:style>
  <w:style w:type="character" w:styleId="Funotenzeichen">
    <w:name w:val="footnote reference"/>
    <w:basedOn w:val="Absatz-Standardschriftart"/>
    <w:semiHidden/>
    <w:rsid w:val="00652B65"/>
    <w:rPr>
      <w:vertAlign w:val="superscript"/>
    </w:rPr>
  </w:style>
  <w:style w:type="table" w:styleId="Tabellenraster">
    <w:name w:val="Table Grid"/>
    <w:basedOn w:val="NormaleTabelle"/>
    <w:uiPriority w:val="59"/>
    <w:rsid w:val="00C95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Raster-Akzent11">
    <w:name w:val="Helles Raster - Akzent 11"/>
    <w:basedOn w:val="NormaleTabelle"/>
    <w:uiPriority w:val="62"/>
    <w:rsid w:val="00C9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FD7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BA5"/>
    <w:rPr>
      <w:rFonts w:ascii="Calibri" w:hAnsi="Calibri"/>
    </w:rPr>
  </w:style>
  <w:style w:type="paragraph" w:styleId="Fuzeile">
    <w:name w:val="footer"/>
    <w:basedOn w:val="Standard"/>
    <w:link w:val="FuzeileZchn"/>
    <w:uiPriority w:val="99"/>
    <w:semiHidden/>
    <w:unhideWhenUsed/>
    <w:rsid w:val="00FD7B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7BA5"/>
    <w:rPr>
      <w:rFonts w:ascii="Calibri" w:hAnsi="Calibri"/>
    </w:rPr>
  </w:style>
  <w:style w:type="paragraph" w:styleId="Sprechblasentext">
    <w:name w:val="Balloon Text"/>
    <w:basedOn w:val="Standard"/>
    <w:link w:val="SprechblasentextZchn"/>
    <w:uiPriority w:val="99"/>
    <w:semiHidden/>
    <w:unhideWhenUsed/>
    <w:rsid w:val="00FD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BA5"/>
    <w:rPr>
      <w:rFonts w:ascii="Tahoma" w:hAnsi="Tahoma" w:cs="Tahoma"/>
      <w:sz w:val="16"/>
      <w:szCs w:val="16"/>
    </w:rPr>
  </w:style>
  <w:style w:type="paragraph" w:styleId="StandardWeb">
    <w:name w:val="Normal (Web)"/>
    <w:basedOn w:val="Standard"/>
    <w:rsid w:val="00704CE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unhideWhenUsed/>
    <w:rsid w:val="007857C3"/>
    <w:rPr>
      <w:color w:val="0000FF" w:themeColor="hyperlink"/>
      <w:u w:val="single"/>
    </w:rPr>
  </w:style>
  <w:style w:type="paragraph" w:customStyle="1" w:styleId="Default">
    <w:name w:val="Default"/>
    <w:rsid w:val="009C45B1"/>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929B-9A7D-4A8A-B3C6-539DD9E7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Aktuelle Volkswirtschaftslehre, Peter Eisenhut</vt:lpstr>
    </vt:vector>
  </TitlesOfParts>
  <Company>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Volkswirtschaftslehre, Peter Eisenhut</dc:title>
  <dc:subject/>
  <dc:creator>Peter Eisenhut</dc:creator>
  <cp:keywords/>
  <dc:description/>
  <cp:lastModifiedBy>Peter Eisenhut</cp:lastModifiedBy>
  <cp:revision>4</cp:revision>
  <dcterms:created xsi:type="dcterms:W3CDTF">2018-05-04T12:10:00Z</dcterms:created>
  <dcterms:modified xsi:type="dcterms:W3CDTF">2018-05-04T14:59:00Z</dcterms:modified>
</cp:coreProperties>
</file>