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Lösungen</w:t>
      </w: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9833DA" w:rsidRPr="009833DA" w:rsidRDefault="009833DA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  <w:sz w:val="32"/>
          <w:szCs w:val="32"/>
        </w:rPr>
        <w:t xml:space="preserve">Repetitionsaufgaben </w:t>
      </w:r>
    </w:p>
    <w:p w:rsidR="004A526C" w:rsidRDefault="004A526C" w:rsidP="009833DA">
      <w:pPr>
        <w:autoSpaceDE w:val="0"/>
        <w:autoSpaceDN w:val="0"/>
        <w:adjustRightInd w:val="0"/>
        <w:spacing w:after="0" w:line="240" w:lineRule="auto"/>
        <w:rPr>
          <w:rFonts w:cs="TimesTen-Italic"/>
          <w:i/>
          <w:iCs/>
        </w:rPr>
      </w:pPr>
    </w:p>
    <w:p w:rsidR="009833DA" w:rsidRDefault="0002178F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>
        <w:rPr>
          <w:rFonts w:cs="TimesTen-Bold"/>
          <w:b/>
          <w:bCs/>
        </w:rPr>
        <w:t>Kapitel 5</w:t>
      </w:r>
    </w:p>
    <w:p w:rsidR="00B54813" w:rsidRDefault="00B54813" w:rsidP="009833DA">
      <w:p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</w:p>
    <w:p w:rsidR="000418F7" w:rsidRDefault="00CB0307" w:rsidP="00CB030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>
        <w:rPr>
          <w:rFonts w:cs="TimesTen-Bold"/>
          <w:bCs/>
        </w:rPr>
        <w:t xml:space="preserve">Beschreibung </w:t>
      </w:r>
      <w:r w:rsidRPr="007F1011">
        <w:rPr>
          <w:rFonts w:cs="TimesTen-Bold"/>
          <w:b/>
          <w:bCs/>
        </w:rPr>
        <w:t>Konjunkturzyklus</w:t>
      </w:r>
      <w:r>
        <w:rPr>
          <w:rFonts w:cs="TimesTen-Bold"/>
          <w:bCs/>
        </w:rPr>
        <w:t xml:space="preserve">: </w:t>
      </w:r>
    </w:p>
    <w:p w:rsidR="00E2704F" w:rsidRDefault="00E2704F" w:rsidP="00CB03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F03E45">
        <w:rPr>
          <w:rFonts w:cs="TimesTen-Bold"/>
          <w:b/>
          <w:bCs/>
        </w:rPr>
        <w:t>Hochkonjunktur, Boom</w:t>
      </w:r>
      <w:r w:rsidR="000418F7" w:rsidRPr="00F03E45">
        <w:rPr>
          <w:rFonts w:cs="TimesTen-Bold"/>
          <w:b/>
          <w:bCs/>
        </w:rPr>
        <w:t>:</w:t>
      </w:r>
      <w:r w:rsidR="000418F7" w:rsidRPr="00E2704F">
        <w:rPr>
          <w:rFonts w:cs="TimesTen-Bold"/>
          <w:bCs/>
        </w:rPr>
        <w:t xml:space="preserve"> steigender Kon</w:t>
      </w:r>
      <w:r w:rsidRPr="00E2704F">
        <w:rPr>
          <w:rFonts w:cs="TimesTen-Bold"/>
          <w:bCs/>
        </w:rPr>
        <w:t xml:space="preserve">sum, Exporte und Investitionen, so dass die Kapazitätsauslastung über dem „Normalniveau“ zu liegen kommt. Als deren Folge </w:t>
      </w:r>
      <w:r w:rsidR="000418F7" w:rsidRPr="00E2704F">
        <w:rPr>
          <w:rFonts w:cs="TimesTen-Bold"/>
          <w:bCs/>
        </w:rPr>
        <w:t>kommt es zu Preiserhöhungen, steigenden Zinsen und einem Mangel an Arbeitskräf</w:t>
      </w:r>
      <w:r>
        <w:rPr>
          <w:rFonts w:cs="TimesTen-Bold"/>
          <w:bCs/>
        </w:rPr>
        <w:t xml:space="preserve">ten. </w:t>
      </w:r>
    </w:p>
    <w:p w:rsidR="000418F7" w:rsidRPr="00E2704F" w:rsidRDefault="000418F7" w:rsidP="00CB03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F03E45">
        <w:rPr>
          <w:rFonts w:cs="TimesTen-Bold"/>
          <w:b/>
          <w:bCs/>
        </w:rPr>
        <w:t>Abschwung:</w:t>
      </w:r>
      <w:r w:rsidRPr="00E2704F">
        <w:rPr>
          <w:rFonts w:cs="TimesTen-Bold"/>
          <w:bCs/>
        </w:rPr>
        <w:t xml:space="preserve"> Rückläufige Zuwachsraten beim Konsum, den Exporten und den Investitionen. Abnehmende, aber über dem Durchschnitt liegende Kapazitätsauslastung.</w:t>
      </w:r>
    </w:p>
    <w:p w:rsidR="000418F7" w:rsidRDefault="000418F7" w:rsidP="00CB03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F03E45">
        <w:rPr>
          <w:rFonts w:cs="TimesTen-Bold"/>
          <w:b/>
          <w:bCs/>
        </w:rPr>
        <w:t>Rezession:</w:t>
      </w:r>
      <w:r>
        <w:rPr>
          <w:rFonts w:cs="TimesTen-Bold"/>
          <w:bCs/>
        </w:rPr>
        <w:t xml:space="preserve"> Kapazitätsauslastung kommt unter die Normalauslastung zu liegen</w:t>
      </w:r>
      <w:r w:rsidR="00E2704F">
        <w:rPr>
          <w:rFonts w:cs="TimesTen-Bold"/>
          <w:bCs/>
        </w:rPr>
        <w:t>. „Gängige“ Definition: Abnehmendes BIP in zwei aufeinanderfolgenden Quartalen. Bei besonders intensivem Rückgang des BIP spricht man von einer Depression.</w:t>
      </w:r>
    </w:p>
    <w:p w:rsidR="00E2704F" w:rsidRDefault="00E2704F" w:rsidP="00CB0307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120" w:line="240" w:lineRule="auto"/>
        <w:ind w:hanging="357"/>
        <w:contextualSpacing w:val="0"/>
        <w:rPr>
          <w:rFonts w:cs="TimesTen-Bold"/>
          <w:bCs/>
        </w:rPr>
      </w:pPr>
      <w:r w:rsidRPr="00F03E45">
        <w:rPr>
          <w:rFonts w:cs="TimesTen-Bold"/>
          <w:b/>
          <w:bCs/>
        </w:rPr>
        <w:t>Aufschwung:</w:t>
      </w:r>
      <w:r>
        <w:rPr>
          <w:rFonts w:cs="TimesTen-Bold"/>
          <w:bCs/>
        </w:rPr>
        <w:t xml:space="preserve">  Aufhellende Zukunftserwartungen, Anstieg der Konsumentenstimmung, Wende bei der Arbeitslosigkeit. Kapazitätsauslastung liegt unter dem Durchschnitt.</w:t>
      </w:r>
    </w:p>
    <w:p w:rsidR="00E2704F" w:rsidRDefault="00E2704F" w:rsidP="00E2704F">
      <w:pPr>
        <w:pStyle w:val="Listenabsatz"/>
        <w:autoSpaceDE w:val="0"/>
        <w:autoSpaceDN w:val="0"/>
        <w:adjustRightInd w:val="0"/>
        <w:spacing w:after="0" w:line="240" w:lineRule="auto"/>
        <w:ind w:left="1080"/>
        <w:rPr>
          <w:rFonts w:cs="TimesTen-Bold"/>
          <w:bCs/>
        </w:rPr>
      </w:pPr>
    </w:p>
    <w:p w:rsidR="009833DA" w:rsidRPr="000A3388" w:rsidRDefault="009833DA" w:rsidP="0097638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F03E45">
        <w:rPr>
          <w:rFonts w:cs="TimesTen-Roman"/>
          <w:b/>
        </w:rPr>
        <w:t>Veränderung der Preise:</w:t>
      </w:r>
      <w:r w:rsidRPr="000A3388">
        <w:rPr>
          <w:rFonts w:cs="TimesTen-Roman"/>
        </w:rPr>
        <w:t xml:space="preserve"> Nachhinkend</w:t>
      </w:r>
      <w:r w:rsidR="000A3388">
        <w:rPr>
          <w:rFonts w:cs="TimesTen-Roman"/>
        </w:rPr>
        <w:t xml:space="preserve">; </w:t>
      </w:r>
      <w:r w:rsidRPr="00F03E45">
        <w:rPr>
          <w:rFonts w:cs="TimesTen-Roman"/>
          <w:b/>
        </w:rPr>
        <w:t>Lohnentwicklung:</w:t>
      </w:r>
      <w:r w:rsidRPr="000A3388">
        <w:rPr>
          <w:rFonts w:cs="TimesTen-Roman"/>
        </w:rPr>
        <w:t xml:space="preserve"> Nachhinkend</w:t>
      </w:r>
      <w:r w:rsidR="000A3388">
        <w:rPr>
          <w:rFonts w:cs="TimesTen-Roman"/>
        </w:rPr>
        <w:t xml:space="preserve">; </w:t>
      </w:r>
      <w:r w:rsidRPr="00F03E45">
        <w:rPr>
          <w:rFonts w:cs="TimesTen-Roman"/>
          <w:b/>
        </w:rPr>
        <w:t>Auftragseingänge:</w:t>
      </w:r>
      <w:r w:rsidR="000A3388" w:rsidRPr="00F03E45">
        <w:rPr>
          <w:rFonts w:cs="TimesTen-Roman"/>
          <w:b/>
        </w:rPr>
        <w:t xml:space="preserve"> </w:t>
      </w:r>
      <w:r w:rsidRPr="000A3388">
        <w:rPr>
          <w:rFonts w:cs="TimesTen-Roman"/>
        </w:rPr>
        <w:t>Vorauseilend</w:t>
      </w:r>
      <w:r w:rsidR="000A3388">
        <w:rPr>
          <w:rFonts w:cs="TimesTen-Roman"/>
        </w:rPr>
        <w:t xml:space="preserve">; </w:t>
      </w:r>
      <w:r w:rsidRPr="00F03E45">
        <w:rPr>
          <w:rFonts w:cs="TimesTen-Roman"/>
          <w:b/>
        </w:rPr>
        <w:t>Entwicklung der Arbeitslosigkeit:</w:t>
      </w:r>
      <w:r w:rsidRPr="000A3388">
        <w:rPr>
          <w:rFonts w:cs="TimesTen-Roman"/>
        </w:rPr>
        <w:t xml:space="preserve"> Nachhinkend</w:t>
      </w:r>
      <w:r w:rsidR="000A3388">
        <w:rPr>
          <w:rFonts w:cs="TimesTen-Roman"/>
        </w:rPr>
        <w:t xml:space="preserve">; </w:t>
      </w:r>
      <w:r w:rsidRPr="00F03E45">
        <w:rPr>
          <w:rFonts w:cs="TimesTen-Roman"/>
          <w:b/>
        </w:rPr>
        <w:t>Exporte:</w:t>
      </w:r>
      <w:r w:rsidRPr="000A3388">
        <w:rPr>
          <w:rFonts w:cs="TimesTen-Roman"/>
        </w:rPr>
        <w:t xml:space="preserve"> Gleichlaufend</w:t>
      </w:r>
      <w:r w:rsidR="000A3388">
        <w:rPr>
          <w:rFonts w:cs="TimesTen-Roman"/>
        </w:rPr>
        <w:t xml:space="preserve">; </w:t>
      </w:r>
      <w:r w:rsidRPr="00F03E45">
        <w:rPr>
          <w:rFonts w:cs="TimesTen-Roman"/>
          <w:b/>
        </w:rPr>
        <w:t>Anzahl offener Stellen:</w:t>
      </w:r>
      <w:r w:rsidR="000A3388">
        <w:rPr>
          <w:rFonts w:cs="TimesTen-Roman"/>
        </w:rPr>
        <w:t xml:space="preserve"> </w:t>
      </w:r>
      <w:r w:rsidRPr="000A3388">
        <w:rPr>
          <w:rFonts w:cs="TimesTen-Roman"/>
        </w:rPr>
        <w:t>Vorauseilend</w:t>
      </w:r>
      <w:r w:rsidR="000A3388">
        <w:rPr>
          <w:rFonts w:cs="TimesTen-Roman"/>
        </w:rPr>
        <w:t>.</w:t>
      </w:r>
    </w:p>
    <w:p w:rsidR="000A3388" w:rsidRP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7F1011" w:rsidRPr="007F1011" w:rsidRDefault="007F1011" w:rsidP="007F1011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Ten-Bold"/>
          <w:b/>
          <w:bCs/>
        </w:rPr>
      </w:pPr>
      <w:r w:rsidRPr="007F1011">
        <w:rPr>
          <w:rFonts w:cs="TimesTen-Bold"/>
          <w:b/>
          <w:bCs/>
        </w:rPr>
        <w:t>Beurteilung von Aussagen:</w:t>
      </w:r>
    </w:p>
    <w:p w:rsidR="00F03E45" w:rsidRPr="00F03E45" w:rsidRDefault="00F03E45" w:rsidP="007F1011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>
        <w:rPr>
          <w:rFonts w:cs="TimesTen-Roman"/>
        </w:rPr>
        <w:t xml:space="preserve">- </w:t>
      </w:r>
      <w:r w:rsidR="009833DA" w:rsidRPr="000A3388">
        <w:rPr>
          <w:rFonts w:cs="TimesTen-Roman"/>
        </w:rPr>
        <w:t>Richtig (insbesond</w:t>
      </w:r>
      <w:r w:rsidR="000A3388">
        <w:rPr>
          <w:rFonts w:cs="TimesTen-Roman"/>
        </w:rPr>
        <w:t>ere im Zusammenhang mit Wahlen)</w:t>
      </w:r>
    </w:p>
    <w:p w:rsidR="00F03E45" w:rsidRDefault="00F03E45" w:rsidP="00F03E45">
      <w:pPr>
        <w:autoSpaceDE w:val="0"/>
        <w:autoSpaceDN w:val="0"/>
        <w:adjustRightInd w:val="0"/>
        <w:spacing w:after="0" w:line="240" w:lineRule="auto"/>
        <w:ind w:left="708"/>
        <w:rPr>
          <w:rFonts w:cs="TimesTen-Bold"/>
          <w:bCs/>
        </w:rPr>
      </w:pPr>
      <w:r>
        <w:rPr>
          <w:rFonts w:cs="TimesTen-Bold"/>
          <w:bCs/>
        </w:rPr>
        <w:t>- Falsch (sie wirkt sich überproportional aus)</w:t>
      </w:r>
    </w:p>
    <w:p w:rsidR="00F03E45" w:rsidRDefault="00F03E45" w:rsidP="00F03E45">
      <w:pPr>
        <w:autoSpaceDE w:val="0"/>
        <w:autoSpaceDN w:val="0"/>
        <w:adjustRightInd w:val="0"/>
        <w:spacing w:after="0" w:line="240" w:lineRule="auto"/>
        <w:ind w:left="708"/>
        <w:rPr>
          <w:rFonts w:cs="TimesTen-Bold"/>
          <w:bCs/>
        </w:rPr>
      </w:pPr>
      <w:r>
        <w:rPr>
          <w:rFonts w:cs="TimesTen-Bold"/>
          <w:bCs/>
        </w:rPr>
        <w:t>- Richtig</w:t>
      </w:r>
    </w:p>
    <w:p w:rsidR="009833DA" w:rsidRPr="00F03E45" w:rsidRDefault="00F03E45" w:rsidP="00F03E45">
      <w:pPr>
        <w:autoSpaceDE w:val="0"/>
        <w:autoSpaceDN w:val="0"/>
        <w:adjustRightInd w:val="0"/>
        <w:spacing w:after="0" w:line="240" w:lineRule="auto"/>
        <w:ind w:left="851" w:hanging="143"/>
        <w:rPr>
          <w:rFonts w:cs="TimesTen-Bold"/>
          <w:bCs/>
        </w:rPr>
      </w:pPr>
      <w:r>
        <w:rPr>
          <w:rFonts w:cs="TimesTen-Bold"/>
          <w:bCs/>
        </w:rPr>
        <w:t>- Falsch (</w:t>
      </w:r>
      <w:r w:rsidR="009833DA" w:rsidRPr="00F03E45">
        <w:rPr>
          <w:rFonts w:cs="TimesTen-Roman"/>
        </w:rPr>
        <w:t>umgekehrt: Branchen, die Investitionsgüter herstellen, reagieren besonders</w:t>
      </w:r>
      <w:r w:rsidR="000A3388" w:rsidRPr="00F03E45">
        <w:rPr>
          <w:rFonts w:cs="TimesTen-Roman"/>
        </w:rPr>
        <w:t xml:space="preserve"> </w:t>
      </w:r>
      <w:r w:rsidR="009833DA" w:rsidRPr="00F03E45">
        <w:rPr>
          <w:rFonts w:cs="TimesTen-Roman"/>
        </w:rPr>
        <w:t>empfindlich, Güter des täglichen Konsums dämpfen die Konjunkturschwankungen).</w:t>
      </w:r>
    </w:p>
    <w:p w:rsidR="000A3388" w:rsidRPr="000A3388" w:rsidRDefault="000A3388" w:rsidP="000A3388">
      <w:pPr>
        <w:pStyle w:val="Listenabsatz"/>
        <w:rPr>
          <w:rFonts w:cs="TimesTen-Bold"/>
          <w:bCs/>
        </w:rPr>
      </w:pPr>
    </w:p>
    <w:p w:rsidR="009833DA" w:rsidRPr="000A3388" w:rsidRDefault="007F1011" w:rsidP="0097638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r w:rsidRPr="007F1011">
        <w:rPr>
          <w:rFonts w:cs="TimesTen-Roman"/>
          <w:b/>
        </w:rPr>
        <w:t>Konjunkturimpulse:</w:t>
      </w:r>
      <w:r>
        <w:rPr>
          <w:rFonts w:cs="TimesTen-Roman"/>
        </w:rPr>
        <w:t xml:space="preserve"> </w:t>
      </w:r>
      <w:r w:rsidR="009833DA" w:rsidRPr="000A3388">
        <w:rPr>
          <w:rFonts w:cs="TimesTen-Roman"/>
        </w:rPr>
        <w:t>Vgl. aktuelle Zeitungsartikel (In der Schweiz gehen entscheidende Impulse sehr oft</w:t>
      </w:r>
      <w:r w:rsidR="000A3388">
        <w:rPr>
          <w:rFonts w:cs="TimesTen-Roman"/>
        </w:rPr>
        <w:t xml:space="preserve"> von der Auslandkonjunktur aus: </w:t>
      </w:r>
      <w:r w:rsidR="009833DA" w:rsidRPr="000A3388">
        <w:rPr>
          <w:rFonts w:cs="TimesTen-Roman"/>
        </w:rPr>
        <w:t>Exporte,</w:t>
      </w:r>
      <w:r w:rsidR="000A3388">
        <w:rPr>
          <w:rFonts w:cs="TimesTen-Roman"/>
        </w:rPr>
        <w:t xml:space="preserve"> </w:t>
      </w:r>
      <w:r w:rsidR="009833DA" w:rsidRPr="000A3388">
        <w:rPr>
          <w:rFonts w:cs="TimesTen-Roman"/>
        </w:rPr>
        <w:t>Wechselkurs</w:t>
      </w:r>
      <w:r w:rsidR="000A3388">
        <w:rPr>
          <w:rFonts w:cs="TimesTen-Roman"/>
        </w:rPr>
        <w:t>e</w:t>
      </w:r>
      <w:r w:rsidR="009833DA" w:rsidRPr="000A3388">
        <w:rPr>
          <w:rFonts w:cs="TimesTen-Roman"/>
        </w:rPr>
        <w:t>).</w:t>
      </w:r>
    </w:p>
    <w:p w:rsidR="000A3388" w:rsidRPr="000A3388" w:rsidRDefault="000A3388" w:rsidP="000A3388">
      <w:pPr>
        <w:pStyle w:val="Listenabsatz"/>
        <w:rPr>
          <w:rFonts w:cs="TimesTen-Bold"/>
          <w:bCs/>
        </w:rPr>
      </w:pPr>
    </w:p>
    <w:p w:rsidR="009833DA" w:rsidRPr="000A3388" w:rsidRDefault="007F1011" w:rsidP="0097638C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  <w:bookmarkStart w:id="0" w:name="_GoBack"/>
      <w:r w:rsidRPr="007F1011">
        <w:rPr>
          <w:rFonts w:cs="TimesTen-Roman"/>
          <w:b/>
        </w:rPr>
        <w:t>Investitionen:</w:t>
      </w:r>
      <w:r>
        <w:rPr>
          <w:rFonts w:cs="TimesTen-Roman"/>
        </w:rPr>
        <w:t xml:space="preserve"> </w:t>
      </w:r>
      <w:bookmarkEnd w:id="0"/>
      <w:r w:rsidR="009833DA" w:rsidRPr="000A3388">
        <w:rPr>
          <w:rFonts w:cs="TimesTen-Roman"/>
        </w:rPr>
        <w:t>Investitionen erhöhen die Produktionsmöglichkeiten (Kapazitätseffekt), die das</w:t>
      </w:r>
      <w:r w:rsidR="000A3388">
        <w:rPr>
          <w:rFonts w:cs="TimesTen-Roman"/>
        </w:rPr>
        <w:t xml:space="preserve"> </w:t>
      </w:r>
      <w:r w:rsidR="009833DA" w:rsidRPr="000A3388">
        <w:rPr>
          <w:rFonts w:cs="TimesTen-Roman"/>
        </w:rPr>
        <w:t>Potenzialwachstum bestimmen. Mit der Herstellung dieser Kapazitäten entstehen</w:t>
      </w:r>
      <w:r w:rsidR="000A3388">
        <w:rPr>
          <w:rFonts w:cs="TimesTen-Roman"/>
        </w:rPr>
        <w:t xml:space="preserve"> </w:t>
      </w:r>
      <w:r w:rsidR="009833DA" w:rsidRPr="000A3388">
        <w:rPr>
          <w:rFonts w:cs="TimesTen-Roman"/>
        </w:rPr>
        <w:t>auch Einkommen, die sich in zusätzlicher Nachfrage manifestieren und somit die</w:t>
      </w:r>
      <w:r w:rsidR="000A3388">
        <w:rPr>
          <w:rFonts w:cs="TimesTen-Roman"/>
        </w:rPr>
        <w:t xml:space="preserve"> </w:t>
      </w:r>
      <w:r w:rsidR="009833DA" w:rsidRPr="000A3388">
        <w:rPr>
          <w:rFonts w:cs="TimesTen-Roman"/>
        </w:rPr>
        <w:t>Potenzialauslastung beeinflussen. Sind Einkommens- und Kapazitätseffekt nicht</w:t>
      </w:r>
      <w:r w:rsidR="000A3388">
        <w:rPr>
          <w:rFonts w:cs="TimesTen-Roman"/>
        </w:rPr>
        <w:t xml:space="preserve"> </w:t>
      </w:r>
      <w:r w:rsidR="009833DA" w:rsidRPr="000A3388">
        <w:rPr>
          <w:rFonts w:cs="TimesTen-Roman"/>
        </w:rPr>
        <w:t>gleich hoch, gerät die Konjunktur in Schwankungen.</w:t>
      </w:r>
    </w:p>
    <w:p w:rsidR="000A3388" w:rsidRPr="000A3388" w:rsidRDefault="000A3388" w:rsidP="000A3388">
      <w:pPr>
        <w:pStyle w:val="Listenabsatz"/>
        <w:rPr>
          <w:rFonts w:cs="TimesTen-Bold"/>
          <w:bCs/>
        </w:rPr>
      </w:pPr>
    </w:p>
    <w:p w:rsidR="000A3388" w:rsidRPr="000A3388" w:rsidRDefault="000A3388" w:rsidP="000A3388">
      <w:pPr>
        <w:pStyle w:val="Listenabsatz"/>
        <w:autoSpaceDE w:val="0"/>
        <w:autoSpaceDN w:val="0"/>
        <w:adjustRightInd w:val="0"/>
        <w:spacing w:after="0" w:line="240" w:lineRule="auto"/>
        <w:rPr>
          <w:rFonts w:cs="TimesTen-Bold"/>
          <w:bCs/>
        </w:rPr>
      </w:pPr>
    </w:p>
    <w:p w:rsidR="00DD669A" w:rsidRPr="009833DA" w:rsidRDefault="00DD669A" w:rsidP="009833DA"/>
    <w:sectPr w:rsidR="00DD669A" w:rsidRPr="009833DA" w:rsidSect="00957AA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718" w:rsidRDefault="00F11718" w:rsidP="00652B65">
      <w:pPr>
        <w:spacing w:after="0" w:line="240" w:lineRule="auto"/>
      </w:pPr>
      <w:r>
        <w:separator/>
      </w:r>
    </w:p>
  </w:endnote>
  <w:end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Te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Te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Te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718" w:rsidRDefault="00F11718" w:rsidP="00652B65">
      <w:pPr>
        <w:spacing w:after="0" w:line="240" w:lineRule="auto"/>
      </w:pPr>
      <w:r>
        <w:separator/>
      </w:r>
    </w:p>
  </w:footnote>
  <w:footnote w:type="continuationSeparator" w:id="0">
    <w:p w:rsidR="00F11718" w:rsidRDefault="00F11718" w:rsidP="00652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718" w:rsidRPr="007419E2" w:rsidRDefault="00F11718">
    <w:pPr>
      <w:pStyle w:val="Kopfzeile"/>
      <w:pBdr>
        <w:bottom w:val="single" w:sz="12" w:space="1" w:color="auto"/>
      </w:pBdr>
      <w:rPr>
        <w:sz w:val="16"/>
        <w:szCs w:val="16"/>
        <w:lang w:val="de-CH"/>
      </w:rPr>
    </w:pPr>
    <w:r>
      <w:rPr>
        <w:sz w:val="16"/>
        <w:szCs w:val="16"/>
        <w:lang w:val="de-CH"/>
      </w:rPr>
      <w:t xml:space="preserve">Lösungen zu den Repetitionsfragen, </w:t>
    </w:r>
    <w:r w:rsidRPr="00F36267">
      <w:rPr>
        <w:sz w:val="16"/>
        <w:szCs w:val="16"/>
        <w:lang w:val="de-CH"/>
      </w:rPr>
      <w:t>Aktuelle Volkswirtschaftslehre, Peter Eisenhut</w:t>
    </w:r>
    <w:r>
      <w:rPr>
        <w:lang w:val="de-CH"/>
      </w:rPr>
      <w:tab/>
    </w:r>
    <w:r w:rsidRPr="00F36267">
      <w:rPr>
        <w:noProof/>
        <w:lang w:eastAsia="de-DE"/>
      </w:rPr>
      <w:drawing>
        <wp:inline distT="0" distB="0" distL="0" distR="0">
          <wp:extent cx="300654" cy="318052"/>
          <wp:effectExtent l="19050" t="0" r="4146" b="0"/>
          <wp:docPr id="3" name="Bild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962" cy="32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F11718" w:rsidRPr="00F36267" w:rsidRDefault="00F11718">
    <w:pPr>
      <w:pStyle w:val="Kopfzeile"/>
      <w:rPr>
        <w:lang w:val="de-CH"/>
      </w:rPr>
    </w:pP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  <w:r>
      <w:rPr>
        <w:lang w:val="de-CH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6747B"/>
    <w:multiLevelType w:val="hybridMultilevel"/>
    <w:tmpl w:val="B4FE198C"/>
    <w:lvl w:ilvl="0" w:tplc="28A491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8061A"/>
    <w:multiLevelType w:val="hybridMultilevel"/>
    <w:tmpl w:val="9F1C838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A86"/>
    <w:multiLevelType w:val="hybridMultilevel"/>
    <w:tmpl w:val="A03EE02C"/>
    <w:lvl w:ilvl="0" w:tplc="F6F0017E">
      <w:start w:val="1"/>
      <w:numFmt w:val="lowerLetter"/>
      <w:lvlText w:val="%1)"/>
      <w:lvlJc w:val="left"/>
      <w:pPr>
        <w:ind w:left="1069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99B274A"/>
    <w:multiLevelType w:val="hybridMultilevel"/>
    <w:tmpl w:val="F11412BC"/>
    <w:lvl w:ilvl="0" w:tplc="B2EC8B8C">
      <w:start w:val="1"/>
      <w:numFmt w:val="lowerLetter"/>
      <w:lvlText w:val="%1)"/>
      <w:lvlJc w:val="left"/>
      <w:pPr>
        <w:ind w:left="144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C304A7"/>
    <w:multiLevelType w:val="hybridMultilevel"/>
    <w:tmpl w:val="24E6DB34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BA0DB8"/>
    <w:multiLevelType w:val="hybridMultilevel"/>
    <w:tmpl w:val="43EE6DBC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5655E5"/>
    <w:multiLevelType w:val="hybridMultilevel"/>
    <w:tmpl w:val="C9A2EDC8"/>
    <w:lvl w:ilvl="0" w:tplc="F796EA3E">
      <w:numFmt w:val="bullet"/>
      <w:lvlText w:val="-"/>
      <w:lvlJc w:val="left"/>
      <w:pPr>
        <w:ind w:left="1068" w:hanging="360"/>
      </w:pPr>
      <w:rPr>
        <w:rFonts w:ascii="Calibri" w:eastAsiaTheme="minorHAnsi" w:hAnsi="Calibri" w:cs="TimesTen-Roman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200E03"/>
    <w:multiLevelType w:val="hybridMultilevel"/>
    <w:tmpl w:val="D26645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C1E33"/>
    <w:multiLevelType w:val="hybridMultilevel"/>
    <w:tmpl w:val="7BB6647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6F6235B"/>
    <w:multiLevelType w:val="hybridMultilevel"/>
    <w:tmpl w:val="14C4E2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547DE"/>
    <w:multiLevelType w:val="hybridMultilevel"/>
    <w:tmpl w:val="31B68BEA"/>
    <w:lvl w:ilvl="0" w:tplc="73F60B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Ten-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2909B1"/>
    <w:multiLevelType w:val="hybridMultilevel"/>
    <w:tmpl w:val="4B322784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710B13"/>
    <w:multiLevelType w:val="hybridMultilevel"/>
    <w:tmpl w:val="CDA863A6"/>
    <w:lvl w:ilvl="0" w:tplc="9B987F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1742A03"/>
    <w:multiLevelType w:val="hybridMultilevel"/>
    <w:tmpl w:val="DE3E96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75165"/>
    <w:multiLevelType w:val="hybridMultilevel"/>
    <w:tmpl w:val="FBC8A9A8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0358C"/>
    <w:multiLevelType w:val="hybridMultilevel"/>
    <w:tmpl w:val="1960C54A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90F68F4"/>
    <w:multiLevelType w:val="hybridMultilevel"/>
    <w:tmpl w:val="E054ABD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DE9"/>
    <w:multiLevelType w:val="hybridMultilevel"/>
    <w:tmpl w:val="C3C29A0A"/>
    <w:lvl w:ilvl="0" w:tplc="3720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D76E13"/>
    <w:multiLevelType w:val="hybridMultilevel"/>
    <w:tmpl w:val="430479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4A9A"/>
    <w:multiLevelType w:val="hybridMultilevel"/>
    <w:tmpl w:val="3DC64E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A72E9"/>
    <w:multiLevelType w:val="hybridMultilevel"/>
    <w:tmpl w:val="68AE43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93E65"/>
    <w:multiLevelType w:val="hybridMultilevel"/>
    <w:tmpl w:val="6F44096A"/>
    <w:lvl w:ilvl="0" w:tplc="9E968136">
      <w:start w:val="1"/>
      <w:numFmt w:val="lowerLetter"/>
      <w:lvlText w:val="%1)"/>
      <w:lvlJc w:val="left"/>
      <w:pPr>
        <w:ind w:left="1428" w:hanging="360"/>
      </w:pPr>
      <w:rPr>
        <w:rFonts w:cs="TimesTen-Roman"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6DA5073"/>
    <w:multiLevelType w:val="hybridMultilevel"/>
    <w:tmpl w:val="D2D8439E"/>
    <w:lvl w:ilvl="0" w:tplc="D17CF948">
      <w:start w:val="1"/>
      <w:numFmt w:val="lowerLetter"/>
      <w:lvlText w:val="%1)"/>
      <w:lvlJc w:val="left"/>
      <w:pPr>
        <w:ind w:left="1080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5B046B"/>
    <w:multiLevelType w:val="hybridMultilevel"/>
    <w:tmpl w:val="684249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BAD"/>
    <w:multiLevelType w:val="hybridMultilevel"/>
    <w:tmpl w:val="A32ECB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65C05"/>
    <w:multiLevelType w:val="hybridMultilevel"/>
    <w:tmpl w:val="4532F5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24D5"/>
    <w:multiLevelType w:val="hybridMultilevel"/>
    <w:tmpl w:val="5E30AC6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86DEF"/>
    <w:multiLevelType w:val="hybridMultilevel"/>
    <w:tmpl w:val="58A62B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428"/>
    <w:multiLevelType w:val="hybridMultilevel"/>
    <w:tmpl w:val="1A2C487A"/>
    <w:lvl w:ilvl="0" w:tplc="209C4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B9D56FD"/>
    <w:multiLevelType w:val="hybridMultilevel"/>
    <w:tmpl w:val="0290C5B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8820B6"/>
    <w:multiLevelType w:val="hybridMultilevel"/>
    <w:tmpl w:val="F1EEB852"/>
    <w:lvl w:ilvl="0" w:tplc="67ACCD56">
      <w:start w:val="1"/>
      <w:numFmt w:val="lowerLetter"/>
      <w:lvlText w:val="%1)"/>
      <w:lvlJc w:val="left"/>
      <w:pPr>
        <w:ind w:left="1068" w:hanging="360"/>
      </w:pPr>
      <w:rPr>
        <w:rFonts w:cs="TimesTen-Bold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C95737"/>
    <w:multiLevelType w:val="hybridMultilevel"/>
    <w:tmpl w:val="98A6A552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17947"/>
    <w:multiLevelType w:val="hybridMultilevel"/>
    <w:tmpl w:val="BB9A7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40CEB"/>
    <w:multiLevelType w:val="hybridMultilevel"/>
    <w:tmpl w:val="71D8CD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731CB"/>
    <w:multiLevelType w:val="hybridMultilevel"/>
    <w:tmpl w:val="FBC8D874"/>
    <w:lvl w:ilvl="0" w:tplc="3E581B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5"/>
  </w:num>
  <w:num w:numId="3">
    <w:abstractNumId w:val="13"/>
  </w:num>
  <w:num w:numId="4">
    <w:abstractNumId w:val="26"/>
  </w:num>
  <w:num w:numId="5">
    <w:abstractNumId w:val="29"/>
  </w:num>
  <w:num w:numId="6">
    <w:abstractNumId w:val="23"/>
  </w:num>
  <w:num w:numId="7">
    <w:abstractNumId w:val="4"/>
  </w:num>
  <w:num w:numId="8">
    <w:abstractNumId w:val="7"/>
  </w:num>
  <w:num w:numId="9">
    <w:abstractNumId w:val="10"/>
  </w:num>
  <w:num w:numId="10">
    <w:abstractNumId w:val="33"/>
  </w:num>
  <w:num w:numId="11">
    <w:abstractNumId w:val="28"/>
  </w:num>
  <w:num w:numId="12">
    <w:abstractNumId w:val="14"/>
  </w:num>
  <w:num w:numId="13">
    <w:abstractNumId w:val="12"/>
  </w:num>
  <w:num w:numId="14">
    <w:abstractNumId w:val="34"/>
  </w:num>
  <w:num w:numId="15">
    <w:abstractNumId w:val="15"/>
  </w:num>
  <w:num w:numId="16">
    <w:abstractNumId w:val="18"/>
  </w:num>
  <w:num w:numId="17">
    <w:abstractNumId w:val="8"/>
  </w:num>
  <w:num w:numId="18">
    <w:abstractNumId w:val="1"/>
  </w:num>
  <w:num w:numId="19">
    <w:abstractNumId w:val="9"/>
  </w:num>
  <w:num w:numId="20">
    <w:abstractNumId w:val="27"/>
  </w:num>
  <w:num w:numId="21">
    <w:abstractNumId w:val="11"/>
  </w:num>
  <w:num w:numId="22">
    <w:abstractNumId w:val="24"/>
  </w:num>
  <w:num w:numId="23">
    <w:abstractNumId w:val="20"/>
  </w:num>
  <w:num w:numId="24">
    <w:abstractNumId w:val="22"/>
  </w:num>
  <w:num w:numId="25">
    <w:abstractNumId w:val="31"/>
  </w:num>
  <w:num w:numId="26">
    <w:abstractNumId w:val="3"/>
  </w:num>
  <w:num w:numId="27">
    <w:abstractNumId w:val="32"/>
  </w:num>
  <w:num w:numId="28">
    <w:abstractNumId w:val="5"/>
  </w:num>
  <w:num w:numId="29">
    <w:abstractNumId w:val="17"/>
  </w:num>
  <w:num w:numId="30">
    <w:abstractNumId w:val="16"/>
  </w:num>
  <w:num w:numId="31">
    <w:abstractNumId w:val="2"/>
  </w:num>
  <w:num w:numId="32">
    <w:abstractNumId w:val="30"/>
  </w:num>
  <w:num w:numId="33">
    <w:abstractNumId w:val="21"/>
  </w:num>
  <w:num w:numId="34">
    <w:abstractNumId w:val="0"/>
  </w:num>
  <w:num w:numId="35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5"/>
    <w:rsid w:val="00003C13"/>
    <w:rsid w:val="0002178F"/>
    <w:rsid w:val="00033D66"/>
    <w:rsid w:val="00033E32"/>
    <w:rsid w:val="000418F7"/>
    <w:rsid w:val="00041EE4"/>
    <w:rsid w:val="00072B69"/>
    <w:rsid w:val="0007659D"/>
    <w:rsid w:val="000A3388"/>
    <w:rsid w:val="000E4EF7"/>
    <w:rsid w:val="000F376B"/>
    <w:rsid w:val="001748D8"/>
    <w:rsid w:val="00207F6B"/>
    <w:rsid w:val="0025305C"/>
    <w:rsid w:val="0025381B"/>
    <w:rsid w:val="002C3627"/>
    <w:rsid w:val="002D7FA2"/>
    <w:rsid w:val="00324644"/>
    <w:rsid w:val="00367632"/>
    <w:rsid w:val="003730AA"/>
    <w:rsid w:val="0038088B"/>
    <w:rsid w:val="00391839"/>
    <w:rsid w:val="003A5881"/>
    <w:rsid w:val="003D16B0"/>
    <w:rsid w:val="003D2BBC"/>
    <w:rsid w:val="003F0AE1"/>
    <w:rsid w:val="004109B4"/>
    <w:rsid w:val="0043794E"/>
    <w:rsid w:val="004811F7"/>
    <w:rsid w:val="004A526C"/>
    <w:rsid w:val="004C5E96"/>
    <w:rsid w:val="0052632F"/>
    <w:rsid w:val="00532F1B"/>
    <w:rsid w:val="005406FA"/>
    <w:rsid w:val="00542D6F"/>
    <w:rsid w:val="005F103A"/>
    <w:rsid w:val="00625669"/>
    <w:rsid w:val="00652B65"/>
    <w:rsid w:val="00680A58"/>
    <w:rsid w:val="00685F9F"/>
    <w:rsid w:val="00693599"/>
    <w:rsid w:val="00694B8E"/>
    <w:rsid w:val="00696FF6"/>
    <w:rsid w:val="006D4579"/>
    <w:rsid w:val="006D739E"/>
    <w:rsid w:val="006E44D7"/>
    <w:rsid w:val="006E6811"/>
    <w:rsid w:val="006F0316"/>
    <w:rsid w:val="00704CEE"/>
    <w:rsid w:val="00720B98"/>
    <w:rsid w:val="007419E2"/>
    <w:rsid w:val="00744057"/>
    <w:rsid w:val="0076162A"/>
    <w:rsid w:val="0077049C"/>
    <w:rsid w:val="007857C3"/>
    <w:rsid w:val="00794B2D"/>
    <w:rsid w:val="007C245B"/>
    <w:rsid w:val="007F1011"/>
    <w:rsid w:val="00802BA5"/>
    <w:rsid w:val="00812DE8"/>
    <w:rsid w:val="00855BAD"/>
    <w:rsid w:val="0088268E"/>
    <w:rsid w:val="00951DC3"/>
    <w:rsid w:val="00957AA6"/>
    <w:rsid w:val="0097638C"/>
    <w:rsid w:val="009833DA"/>
    <w:rsid w:val="009D274B"/>
    <w:rsid w:val="009E29A5"/>
    <w:rsid w:val="00A2055F"/>
    <w:rsid w:val="00B07287"/>
    <w:rsid w:val="00B16382"/>
    <w:rsid w:val="00B415E0"/>
    <w:rsid w:val="00B54813"/>
    <w:rsid w:val="00B62E12"/>
    <w:rsid w:val="00B92A21"/>
    <w:rsid w:val="00B9733B"/>
    <w:rsid w:val="00C65488"/>
    <w:rsid w:val="00C81DEF"/>
    <w:rsid w:val="00C952D4"/>
    <w:rsid w:val="00CB0307"/>
    <w:rsid w:val="00CB0D83"/>
    <w:rsid w:val="00CB6625"/>
    <w:rsid w:val="00CE5DEB"/>
    <w:rsid w:val="00CF4755"/>
    <w:rsid w:val="00D11EA0"/>
    <w:rsid w:val="00D3344E"/>
    <w:rsid w:val="00D82F27"/>
    <w:rsid w:val="00D97BE8"/>
    <w:rsid w:val="00DC77A7"/>
    <w:rsid w:val="00DD669A"/>
    <w:rsid w:val="00DF04AC"/>
    <w:rsid w:val="00E2704F"/>
    <w:rsid w:val="00E76554"/>
    <w:rsid w:val="00E97C47"/>
    <w:rsid w:val="00EA38AA"/>
    <w:rsid w:val="00EB3BB8"/>
    <w:rsid w:val="00EF4DE2"/>
    <w:rsid w:val="00F03E45"/>
    <w:rsid w:val="00F11718"/>
    <w:rsid w:val="00F14B72"/>
    <w:rsid w:val="00F36267"/>
    <w:rsid w:val="00F402C5"/>
    <w:rsid w:val="00F40825"/>
    <w:rsid w:val="00F42FBD"/>
    <w:rsid w:val="00F710E2"/>
    <w:rsid w:val="00F870FA"/>
    <w:rsid w:val="00FB5BD4"/>
    <w:rsid w:val="00FD7BA5"/>
    <w:rsid w:val="00FF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2C45B4"/>
  <w15:docId w15:val="{B638C0A3-D939-4BB6-B1B9-DA3CA49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833DA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B0D8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652B65"/>
    <w:pPr>
      <w:spacing w:after="0" w:line="240" w:lineRule="auto"/>
      <w:jc w:val="both"/>
    </w:pPr>
    <w:rPr>
      <w:rFonts w:ascii="Times" w:eastAsia="Times" w:hAnsi="Times" w:cs="Times New Roman"/>
      <w:sz w:val="2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652B65"/>
    <w:rPr>
      <w:rFonts w:ascii="Times" w:eastAsia="Times" w:hAnsi="Times" w:cs="Times New Roman"/>
      <w:sz w:val="24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652B65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CH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652B65"/>
    <w:rPr>
      <w:rFonts w:ascii="Arial" w:eastAsia="Times New Roman" w:hAnsi="Arial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semiHidden/>
    <w:rsid w:val="00652B65"/>
    <w:rPr>
      <w:vertAlign w:val="superscript"/>
    </w:rPr>
  </w:style>
  <w:style w:type="table" w:styleId="Tabellenraster">
    <w:name w:val="Table Grid"/>
    <w:basedOn w:val="NormaleTabelle"/>
    <w:uiPriority w:val="59"/>
    <w:rsid w:val="00C952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HellesRaster-Akzent11">
    <w:name w:val="Helles Raster - Akzent 11"/>
    <w:basedOn w:val="NormaleTabelle"/>
    <w:uiPriority w:val="62"/>
    <w:rsid w:val="00C952D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7BA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semiHidden/>
    <w:unhideWhenUsed/>
    <w:rsid w:val="00FD7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D7BA5"/>
    <w:rPr>
      <w:rFonts w:ascii="Calibri" w:hAnsi="Calibr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7BA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704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785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810BC-AE3B-494D-B3DF-85CF9E7C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Aktuelle Volkswirtschaftslehre, Peter Eisenhut</vt:lpstr>
    </vt:vector>
  </TitlesOfParts>
  <Company> 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Aktuelle Volkswirtschaftslehre, Peter Eisenhut</dc:title>
  <dc:subject/>
  <dc:creator>Peter Eisenhut</dc:creator>
  <cp:keywords/>
  <dc:description/>
  <cp:lastModifiedBy>Peter Eisenhut</cp:lastModifiedBy>
  <cp:revision>4</cp:revision>
  <dcterms:created xsi:type="dcterms:W3CDTF">2018-05-04T11:30:00Z</dcterms:created>
  <dcterms:modified xsi:type="dcterms:W3CDTF">2018-05-04T14:50:00Z</dcterms:modified>
</cp:coreProperties>
</file>