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  <w:sz w:val="32"/>
          <w:szCs w:val="32"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4E7CE6" w:rsidRPr="009833DA" w:rsidRDefault="004E7CE6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CE5DEB" w:rsidRPr="009833DA" w:rsidRDefault="0002178F" w:rsidP="00CE5DEB">
      <w:pPr>
        <w:rPr>
          <w:rFonts w:cs="TimesTen-Bold"/>
          <w:b/>
          <w:bCs/>
        </w:rPr>
      </w:pPr>
      <w:r>
        <w:rPr>
          <w:rFonts w:cs="TimesTen-Bold"/>
          <w:b/>
          <w:bCs/>
        </w:rPr>
        <w:t>Kapitel 2</w:t>
      </w:r>
    </w:p>
    <w:p w:rsidR="009833DA" w:rsidRDefault="00FE46C0" w:rsidP="009763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Bestimmungsfaktoren der Nachfrage: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Von der Nutzenvorstellun</w:t>
      </w:r>
      <w:r w:rsidR="009833DA">
        <w:rPr>
          <w:rFonts w:cs="TimesTen-Roman"/>
        </w:rPr>
        <w:t>g; v</w:t>
      </w:r>
      <w:r w:rsidR="009833DA" w:rsidRPr="009833DA">
        <w:rPr>
          <w:rFonts w:cs="TimesTen-Roman"/>
        </w:rPr>
        <w:t>om Preis des Gutes</w:t>
      </w:r>
      <w:r w:rsidR="009833DA">
        <w:rPr>
          <w:rFonts w:cs="TimesTen-Roman"/>
        </w:rPr>
        <w:t>; v</w:t>
      </w:r>
      <w:r w:rsidR="009833DA" w:rsidRPr="009833DA">
        <w:rPr>
          <w:rFonts w:cs="TimesTen-Roman"/>
        </w:rPr>
        <w:t>om Preis anderer Güter</w:t>
      </w:r>
      <w:r w:rsidR="009833DA">
        <w:rPr>
          <w:rFonts w:cs="TimesTen-Roman"/>
        </w:rPr>
        <w:t>; v</w:t>
      </w:r>
      <w:r w:rsidR="009833DA" w:rsidRPr="009833DA">
        <w:rPr>
          <w:rFonts w:cs="TimesTen-Roman"/>
        </w:rPr>
        <w:t>on den Preiserwartungen</w:t>
      </w:r>
      <w:r w:rsidR="009833DA">
        <w:rPr>
          <w:rFonts w:cs="TimesTen-Roman"/>
        </w:rPr>
        <w:t>; v</w:t>
      </w:r>
      <w:r w:rsidR="009833DA" w:rsidRPr="009833DA">
        <w:rPr>
          <w:rFonts w:cs="TimesTen-Roman"/>
        </w:rPr>
        <w:t>om Einkommen (bzw. dem Vermögen)</w:t>
      </w:r>
      <w:r w:rsidR="004E7CE6">
        <w:rPr>
          <w:rFonts w:cs="TimesTen-Roman"/>
        </w:rPr>
        <w:t>.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FE46C0" w:rsidRDefault="00FE46C0" w:rsidP="00FE46C0">
      <w:pPr>
        <w:pStyle w:val="Listenabsatz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349"/>
        <w:rPr>
          <w:rFonts w:cs="TimesTen-Roman"/>
        </w:rPr>
      </w:pPr>
      <w:r>
        <w:rPr>
          <w:rFonts w:cs="TimesTen-Roman"/>
        </w:rPr>
        <w:t xml:space="preserve">Erklärungen für den </w:t>
      </w:r>
      <w:r w:rsidRPr="00FE46C0">
        <w:rPr>
          <w:rFonts w:cs="TimesTen-Roman"/>
          <w:b/>
        </w:rPr>
        <w:t>Verlauf der Nachfragekurve</w:t>
      </w:r>
      <w:r>
        <w:rPr>
          <w:rFonts w:cs="TimesTen-Roman"/>
        </w:rPr>
        <w:t xml:space="preserve">: </w:t>
      </w:r>
    </w:p>
    <w:p w:rsidR="009833DA" w:rsidRPr="00FE46C0" w:rsidRDefault="00FE46C0" w:rsidP="00FE46C0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8"/>
        <w:rPr>
          <w:rFonts w:cs="TimesTen-Roman"/>
        </w:rPr>
      </w:pPr>
      <w:r>
        <w:rPr>
          <w:rFonts w:cs="TimesTen-Roman"/>
        </w:rPr>
        <w:tab/>
      </w:r>
      <w:r w:rsidR="009833DA" w:rsidRPr="00FE46C0">
        <w:rPr>
          <w:rFonts w:cs="TimesTen-Roman"/>
        </w:rPr>
        <w:t xml:space="preserve"> </w:t>
      </w:r>
      <w:r w:rsidR="00CE5DEB" w:rsidRPr="00FE46C0">
        <w:rPr>
          <w:rFonts w:cs="TimesTen-Roman"/>
        </w:rPr>
        <w:t xml:space="preserve">a) </w:t>
      </w:r>
      <w:r w:rsidR="009833DA" w:rsidRPr="00FE46C0">
        <w:rPr>
          <w:rFonts w:cs="TimesTen-Roman"/>
        </w:rPr>
        <w:t>Abnehmender Grenznutzen mit steigender Menge und damit einhergehend sinkender</w:t>
      </w:r>
      <w:r w:rsidR="00CE5DEB" w:rsidRPr="00FE46C0">
        <w:rPr>
          <w:rFonts w:cs="TimesTen-Roman"/>
        </w:rPr>
        <w:t xml:space="preserve"> </w:t>
      </w:r>
      <w:r w:rsidR="009833DA" w:rsidRPr="00FE46C0">
        <w:rPr>
          <w:rFonts w:cs="TimesTen-Roman"/>
        </w:rPr>
        <w:t>Kaufbereitschaft.</w:t>
      </w:r>
    </w:p>
    <w:p w:rsidR="009833DA" w:rsidRPr="009833DA" w:rsidRDefault="00CE5DEB" w:rsidP="00FE46C0">
      <w:pPr>
        <w:autoSpaceDE w:val="0"/>
        <w:autoSpaceDN w:val="0"/>
        <w:adjustRightInd w:val="0"/>
        <w:spacing w:after="120" w:line="240" w:lineRule="auto"/>
        <w:ind w:left="708"/>
        <w:rPr>
          <w:rFonts w:cs="TimesTen-Roman"/>
        </w:rPr>
      </w:pPr>
      <w:r>
        <w:rPr>
          <w:rFonts w:cs="TimesTen-Roman"/>
        </w:rPr>
        <w:t xml:space="preserve">b) </w:t>
      </w:r>
      <w:r w:rsidR="009833DA" w:rsidRPr="009833DA">
        <w:rPr>
          <w:rFonts w:cs="TimesTen-Roman"/>
        </w:rPr>
        <w:t>Preissenkungen führen zu höheren Realeinkommen und damit zur Möglichkeit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des höheren Konsums.</w:t>
      </w:r>
    </w:p>
    <w:p w:rsidR="00CE5DEB" w:rsidRDefault="00CE5DEB" w:rsidP="00FE46C0">
      <w:pPr>
        <w:autoSpaceDE w:val="0"/>
        <w:autoSpaceDN w:val="0"/>
        <w:adjustRightInd w:val="0"/>
        <w:spacing w:after="120" w:line="240" w:lineRule="auto"/>
        <w:ind w:left="708"/>
        <w:rPr>
          <w:rFonts w:cs="TimesTen-Roman"/>
        </w:rPr>
      </w:pPr>
      <w:r>
        <w:rPr>
          <w:rFonts w:cs="TimesTen-Roman"/>
        </w:rPr>
        <w:t xml:space="preserve">c) </w:t>
      </w:r>
      <w:r w:rsidR="009833DA" w:rsidRPr="009833DA">
        <w:rPr>
          <w:rFonts w:cs="TimesTen-Roman"/>
        </w:rPr>
        <w:t>Preissenkung für ein Gut bedeutet gleichzeitig relativ teurer werdende andere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Güter. Der Grenznutzen pro Franken für das im Preis sinkende Gut steigt, deshalb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wird mehr nachgefragt.</w:t>
      </w:r>
    </w:p>
    <w:p w:rsidR="00CE5DEB" w:rsidRDefault="00CE5DEB" w:rsidP="00CE5DEB">
      <w:pPr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9833DA" w:rsidRDefault="00FE46C0" w:rsidP="009763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Gründe für eine Linksverschiebung der Nachfragekurve:</w:t>
      </w:r>
      <w:r>
        <w:rPr>
          <w:rFonts w:cs="TimesTen-Roman"/>
        </w:rPr>
        <w:t xml:space="preserve"> </w:t>
      </w:r>
      <w:r w:rsidR="009833DA" w:rsidRPr="00CE5DEB">
        <w:rPr>
          <w:rFonts w:cs="TimesTen-Roman"/>
        </w:rPr>
        <w:t>Tiefere Nutzeneinschätzung</w:t>
      </w:r>
      <w:r w:rsidR="00CE5DEB">
        <w:rPr>
          <w:rFonts w:cs="TimesTen-Roman"/>
        </w:rPr>
        <w:t>; s</w:t>
      </w:r>
      <w:r w:rsidR="009833DA" w:rsidRPr="00CE5DEB">
        <w:rPr>
          <w:rFonts w:cs="TimesTen-Roman"/>
        </w:rPr>
        <w:t>inkende Preise von Substitutionsgütern</w:t>
      </w:r>
      <w:r w:rsidR="00CE5DEB">
        <w:rPr>
          <w:rFonts w:cs="TimesTen-Roman"/>
        </w:rPr>
        <w:t>; s</w:t>
      </w:r>
      <w:r w:rsidR="009833DA" w:rsidRPr="00CE5DEB">
        <w:rPr>
          <w:rFonts w:cs="TimesTen-Roman"/>
        </w:rPr>
        <w:t>teigende Preise von Komplementärgütern</w:t>
      </w:r>
      <w:r w:rsidR="00CE5DEB">
        <w:rPr>
          <w:rFonts w:cs="TimesTen-Roman"/>
        </w:rPr>
        <w:t>; t</w:t>
      </w:r>
      <w:r w:rsidR="009833DA" w:rsidRPr="00CE5DEB">
        <w:rPr>
          <w:rFonts w:cs="TimesTen-Roman"/>
        </w:rPr>
        <w:t>ieferes Einkommen</w:t>
      </w:r>
      <w:r w:rsidR="00CE5DEB">
        <w:rPr>
          <w:rFonts w:cs="TimesTen-Roman"/>
        </w:rPr>
        <w:t>; e</w:t>
      </w:r>
      <w:r w:rsidR="009833DA" w:rsidRPr="00CE5DEB">
        <w:rPr>
          <w:rFonts w:cs="TimesTen-Roman"/>
        </w:rPr>
        <w:t>rwartete Preissenkungen</w:t>
      </w:r>
      <w:r w:rsidR="00CE5DEB">
        <w:rPr>
          <w:rFonts w:cs="TimesTen-Roman"/>
        </w:rPr>
        <w:t>.</w:t>
      </w:r>
    </w:p>
    <w:p w:rsidR="00CE5DEB" w:rsidRDefault="00CE5DEB" w:rsidP="00CE5DEB">
      <w:pPr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9833DA" w:rsidRDefault="00FE46C0" w:rsidP="009763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Einflussfaktoren auf die Nachfrageelastizität:</w:t>
      </w:r>
      <w:r>
        <w:rPr>
          <w:rFonts w:cs="TimesTen-Roman"/>
        </w:rPr>
        <w:t xml:space="preserve"> </w:t>
      </w:r>
      <w:r w:rsidR="009833DA" w:rsidRPr="00CE5DEB">
        <w:rPr>
          <w:rFonts w:cs="TimesTen-Roman"/>
        </w:rPr>
        <w:t>Anzahl Substitutionsgüter;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Wichtigkeit des Produktes;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Anteil der Ausgaben für dieses Gut am Budget;</w:t>
      </w:r>
      <w:r w:rsidR="00CE5DEB">
        <w:rPr>
          <w:rFonts w:cs="TimesTen-Roman"/>
        </w:rPr>
        <w:t xml:space="preserve"> </w:t>
      </w:r>
      <w:r>
        <w:rPr>
          <w:rFonts w:cs="TimesTen-Roman"/>
        </w:rPr>
        <w:t>die</w:t>
      </w:r>
      <w:r w:rsidR="009833DA" w:rsidRPr="00CE5DEB">
        <w:rPr>
          <w:rFonts w:cs="TimesTen-Roman"/>
        </w:rPr>
        <w:t xml:space="preserve"> betrachtete Zeitspanne.</w:t>
      </w:r>
    </w:p>
    <w:p w:rsidR="00CE5DEB" w:rsidRPr="00CE5DEB" w:rsidRDefault="00CE5DEB" w:rsidP="00CE5DEB">
      <w:pPr>
        <w:pStyle w:val="Listenabsatz"/>
        <w:rPr>
          <w:rFonts w:cs="TimesTen-Roman"/>
        </w:rPr>
      </w:pPr>
    </w:p>
    <w:p w:rsidR="009833DA" w:rsidRDefault="00FE46C0" w:rsidP="009763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Abhängigkeit de</w:t>
      </w:r>
      <w:r>
        <w:rPr>
          <w:rFonts w:cs="TimesTen-Roman"/>
          <w:b/>
        </w:rPr>
        <w:t>r</w:t>
      </w:r>
      <w:r w:rsidRPr="00FE46C0">
        <w:rPr>
          <w:rFonts w:cs="TimesTen-Roman"/>
          <w:b/>
        </w:rPr>
        <w:t xml:space="preserve"> angebotenen Menge:</w:t>
      </w:r>
      <w:r>
        <w:rPr>
          <w:rFonts w:cs="TimesTen-Roman"/>
        </w:rPr>
        <w:t xml:space="preserve"> </w:t>
      </w:r>
      <w:r w:rsidR="009833DA" w:rsidRPr="00CE5DEB">
        <w:rPr>
          <w:rFonts w:cs="TimesTen-Roman"/>
        </w:rPr>
        <w:t xml:space="preserve">Vom Preis, den </w:t>
      </w:r>
      <w:r w:rsidR="004E7CE6">
        <w:rPr>
          <w:rFonts w:cs="TimesTen-Roman"/>
        </w:rPr>
        <w:t>die Nachfrager für dieses Gut zu zahlen bereit sind. D</w:t>
      </w:r>
      <w:r w:rsidR="009833DA" w:rsidRPr="00CE5DEB">
        <w:rPr>
          <w:rFonts w:cs="TimesTen-Roman"/>
        </w:rPr>
        <w:t>er Preis, zu dem das Gut angeboten wird, hängt von den Kosten ab, die bei der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Produktion entstehen. Entscheidend für die angebotene Menge ist der Verlauf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der Grenzkosten.</w:t>
      </w:r>
    </w:p>
    <w:p w:rsidR="00CE5DEB" w:rsidRPr="00CE5DEB" w:rsidRDefault="00CE5DEB" w:rsidP="00CE5DEB">
      <w:pPr>
        <w:pStyle w:val="Listenabsatz"/>
        <w:rPr>
          <w:rFonts w:cs="TimesTen-Roman"/>
        </w:rPr>
      </w:pPr>
    </w:p>
    <w:p w:rsidR="009833DA" w:rsidRDefault="00FE46C0" w:rsidP="009763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Verlauf der Angebotskurve:</w:t>
      </w:r>
      <w:r>
        <w:rPr>
          <w:rFonts w:cs="TimesTen-Roman"/>
        </w:rPr>
        <w:t xml:space="preserve"> </w:t>
      </w:r>
      <w:r w:rsidR="009833DA" w:rsidRPr="00CE5DEB">
        <w:rPr>
          <w:rFonts w:cs="TimesTen-Roman"/>
        </w:rPr>
        <w:t>Da das Gewinnmaximum beim Ausgleich von Preis und Grenzkosten liegt, wird bei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steigendem Preis auch das Angebot erhöht und zwar solange, bis der neue Preis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wieder den Grenzkosten entspricht. (Ab einer bestimmten Produktionshöhe beginnen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die Grenzkosten, aufgrund des Ertragsgesetzes, zu steigen.)</w:t>
      </w:r>
    </w:p>
    <w:p w:rsidR="00CE5DEB" w:rsidRPr="00CE5DEB" w:rsidRDefault="00CE5DEB" w:rsidP="00CE5DEB">
      <w:pPr>
        <w:pStyle w:val="Listenabsatz"/>
        <w:rPr>
          <w:rFonts w:cs="TimesTen-Roman"/>
        </w:rPr>
      </w:pPr>
    </w:p>
    <w:p w:rsidR="004E7CE6" w:rsidRDefault="00FE46C0" w:rsidP="004E7C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Marktgleichgewicht:</w:t>
      </w:r>
      <w:r>
        <w:rPr>
          <w:rFonts w:cs="TimesTen-Roman"/>
        </w:rPr>
        <w:t xml:space="preserve"> </w:t>
      </w:r>
      <w:r w:rsidR="004E7CE6" w:rsidRPr="00CE5DEB">
        <w:rPr>
          <w:rFonts w:cs="TimesTen-Roman"/>
        </w:rPr>
        <w:t>Nur im Schnittpunkt von Nachfrage- und Angebotskurve stimmen die angebotene</w:t>
      </w:r>
      <w:r w:rsidR="004E7CE6">
        <w:rPr>
          <w:rFonts w:cs="TimesTen-Roman"/>
        </w:rPr>
        <w:t xml:space="preserve"> </w:t>
      </w:r>
      <w:r w:rsidR="004E7CE6" w:rsidRPr="00CE5DEB">
        <w:rPr>
          <w:rFonts w:cs="TimesTen-Roman"/>
        </w:rPr>
        <w:t>und die nachgefragte Menge überein. In allen anderen Fällen herrscht ein Nachfrage-</w:t>
      </w:r>
      <w:r w:rsidR="004E7CE6">
        <w:rPr>
          <w:rFonts w:cs="TimesTen-Roman"/>
        </w:rPr>
        <w:t xml:space="preserve"> </w:t>
      </w:r>
      <w:r w:rsidR="004E7CE6" w:rsidRPr="00CE5DEB">
        <w:rPr>
          <w:rFonts w:cs="TimesTen-Roman"/>
        </w:rPr>
        <w:t>oder ein Angebotsüberschuss, die Preisanpassungen auslösen.</w:t>
      </w:r>
    </w:p>
    <w:p w:rsidR="004E7CE6" w:rsidRPr="004E7CE6" w:rsidRDefault="004E7CE6" w:rsidP="004E7CE6">
      <w:pPr>
        <w:pStyle w:val="Listenabsatz"/>
        <w:rPr>
          <w:rFonts w:cs="TimesTen-Roman"/>
        </w:rPr>
      </w:pPr>
    </w:p>
    <w:p w:rsidR="004E7CE6" w:rsidRDefault="00FE46C0" w:rsidP="0086548E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color w:val="000000" w:themeColor="text1"/>
        </w:rPr>
      </w:pPr>
      <w:r w:rsidRPr="00FE46C0">
        <w:rPr>
          <w:b/>
          <w:color w:val="000000" w:themeColor="text1"/>
        </w:rPr>
        <w:t xml:space="preserve">Konsumentenrente beim Dynamic </w:t>
      </w:r>
      <w:proofErr w:type="spellStart"/>
      <w:r w:rsidRPr="00FE46C0">
        <w:rPr>
          <w:b/>
          <w:color w:val="000000" w:themeColor="text1"/>
        </w:rPr>
        <w:t>Pricing</w:t>
      </w:r>
      <w:proofErr w:type="spellEnd"/>
      <w:r w:rsidRPr="00FE46C0">
        <w:rPr>
          <w:b/>
          <w:color w:val="000000" w:themeColor="text1"/>
        </w:rPr>
        <w:t xml:space="preserve">: </w:t>
      </w:r>
      <w:r w:rsidR="004E7CE6" w:rsidRPr="004E7CE6">
        <w:rPr>
          <w:color w:val="000000" w:themeColor="text1"/>
        </w:rPr>
        <w:t xml:space="preserve">Im Vergleich zur Situation mit einem einheitlichen Preis schöpft der Anbieter die Konsumentenrente </w:t>
      </w:r>
      <w:r w:rsidR="0086548E">
        <w:rPr>
          <w:color w:val="000000" w:themeColor="text1"/>
        </w:rPr>
        <w:t xml:space="preserve">bei einem perfekten Dynamic </w:t>
      </w:r>
      <w:proofErr w:type="spellStart"/>
      <w:r w:rsidR="0086548E">
        <w:rPr>
          <w:color w:val="000000" w:themeColor="text1"/>
        </w:rPr>
        <w:t>Pricing</w:t>
      </w:r>
      <w:proofErr w:type="spellEnd"/>
      <w:r w:rsidR="0086548E">
        <w:rPr>
          <w:color w:val="000000" w:themeColor="text1"/>
        </w:rPr>
        <w:t xml:space="preserve"> </w:t>
      </w:r>
      <w:r w:rsidR="004E7CE6">
        <w:rPr>
          <w:color w:val="000000" w:themeColor="text1"/>
        </w:rPr>
        <w:t xml:space="preserve">vollständig </w:t>
      </w:r>
      <w:r w:rsidR="004E7CE6" w:rsidRPr="004E7CE6">
        <w:rPr>
          <w:color w:val="000000" w:themeColor="text1"/>
        </w:rPr>
        <w:t xml:space="preserve">ab und kann dadurch seinen Gewinn steigern. </w:t>
      </w:r>
    </w:p>
    <w:p w:rsidR="0086548E" w:rsidRPr="0086548E" w:rsidRDefault="0086548E" w:rsidP="0086548E">
      <w:pPr>
        <w:pStyle w:val="Listenabsatz"/>
        <w:rPr>
          <w:color w:val="000000" w:themeColor="text1"/>
        </w:rPr>
      </w:pPr>
    </w:p>
    <w:p w:rsidR="0086548E" w:rsidRDefault="00FE46C0" w:rsidP="0086548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FE46C0">
        <w:rPr>
          <w:rFonts w:cs="TimesTen-Roman"/>
          <w:b/>
        </w:rPr>
        <w:t>Bedingungen für vollkommene Konkurrenz:</w:t>
      </w:r>
      <w:r>
        <w:rPr>
          <w:rFonts w:cs="TimesTen-Roman"/>
        </w:rPr>
        <w:t xml:space="preserve"> </w:t>
      </w:r>
      <w:r w:rsidR="0086548E" w:rsidRPr="00CE5DEB">
        <w:rPr>
          <w:rFonts w:cs="TimesTen-Roman"/>
        </w:rPr>
        <w:t>Homogene Güter;</w:t>
      </w:r>
      <w:r w:rsidR="0086548E">
        <w:rPr>
          <w:rFonts w:cs="TimesTen-Roman"/>
        </w:rPr>
        <w:t xml:space="preserve"> </w:t>
      </w:r>
      <w:proofErr w:type="spellStart"/>
      <w:r w:rsidR="0086548E">
        <w:rPr>
          <w:rFonts w:cs="TimesTen-Roman"/>
        </w:rPr>
        <w:t>g</w:t>
      </w:r>
      <w:r w:rsidR="0086548E" w:rsidRPr="00CE5DEB">
        <w:rPr>
          <w:rFonts w:cs="TimesTen-Roman"/>
        </w:rPr>
        <w:t>rosse</w:t>
      </w:r>
      <w:proofErr w:type="spellEnd"/>
      <w:r w:rsidR="0086548E" w:rsidRPr="00CE5DEB">
        <w:rPr>
          <w:rFonts w:cs="TimesTen-Roman"/>
        </w:rPr>
        <w:t xml:space="preserve"> Anzahl vo</w:t>
      </w:r>
      <w:r w:rsidR="0086548E">
        <w:rPr>
          <w:rFonts w:cs="TimesTen-Roman"/>
        </w:rPr>
        <w:t>n</w:t>
      </w:r>
      <w:r w:rsidR="0086548E" w:rsidRPr="00CE5DEB">
        <w:rPr>
          <w:rFonts w:cs="TimesTen-Roman"/>
        </w:rPr>
        <w:t xml:space="preserve"> Marktteilnehmern; </w:t>
      </w:r>
      <w:r w:rsidR="0086548E">
        <w:rPr>
          <w:rFonts w:cs="TimesTen-Roman"/>
        </w:rPr>
        <w:t>f</w:t>
      </w:r>
      <w:r w:rsidR="0086548E" w:rsidRPr="00CE5DEB">
        <w:rPr>
          <w:rFonts w:cs="TimesTen-Roman"/>
        </w:rPr>
        <w:t>reier Zutritt zum Markt;</w:t>
      </w:r>
      <w:r w:rsidR="0086548E">
        <w:rPr>
          <w:rFonts w:cs="TimesTen-Roman"/>
        </w:rPr>
        <w:t xml:space="preserve"> v</w:t>
      </w:r>
      <w:r w:rsidR="0086548E" w:rsidRPr="00CE5DEB">
        <w:rPr>
          <w:rFonts w:cs="TimesTen-Roman"/>
        </w:rPr>
        <w:t>ollständige Information.</w:t>
      </w:r>
    </w:p>
    <w:p w:rsidR="00CE5DEB" w:rsidRPr="0086548E" w:rsidRDefault="00CE5DEB" w:rsidP="0086548E">
      <w:pPr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DD669A" w:rsidRPr="0086548E" w:rsidRDefault="00FE46C0" w:rsidP="009833D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bookmarkStart w:id="0" w:name="_GoBack"/>
      <w:r w:rsidRPr="00FE46C0">
        <w:rPr>
          <w:rFonts w:cs="TimesTen-Roman"/>
          <w:b/>
        </w:rPr>
        <w:t xml:space="preserve">Unterschiede Preisbildung Monopol / </w:t>
      </w:r>
      <w:proofErr w:type="gramStart"/>
      <w:r w:rsidRPr="00FE46C0">
        <w:rPr>
          <w:rFonts w:cs="TimesTen-Roman"/>
          <w:b/>
        </w:rPr>
        <w:t>Vollkommene</w:t>
      </w:r>
      <w:proofErr w:type="gramEnd"/>
      <w:r w:rsidRPr="00FE46C0">
        <w:rPr>
          <w:rFonts w:cs="TimesTen-Roman"/>
          <w:b/>
        </w:rPr>
        <w:t xml:space="preserve"> Konkurrenz:</w:t>
      </w:r>
      <w:r>
        <w:rPr>
          <w:rFonts w:cs="TimesTen-Roman"/>
        </w:rPr>
        <w:t xml:space="preserve"> </w:t>
      </w:r>
      <w:bookmarkEnd w:id="0"/>
      <w:r w:rsidR="009833DA" w:rsidRPr="00CE5DEB">
        <w:rPr>
          <w:rFonts w:cs="TimesTen-Roman"/>
        </w:rPr>
        <w:t xml:space="preserve">In der vollkommenen Konkurrenz muss der einzelne Anbieter den Marktpreis «akzeptieren» (Gewinnmaximum: Preis = </w:t>
      </w:r>
      <w:r w:rsidR="009833DA" w:rsidRPr="00CE5DEB">
        <w:rPr>
          <w:rFonts w:cs="TimesTen-Roman"/>
        </w:rPr>
        <w:lastRenderedPageBreak/>
        <w:t>Grenzkosten); der Monopolist kann die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Marktsituation beeinflussen (Gewinnmaximum: Grenzerlös = Grenzkosten). Bei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vollkommener Konkurrenz ergibt sich der Preis und die Menge im Schnittpunkt der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Nachfrage- und An</w:t>
      </w:r>
      <w:r w:rsidR="00CE5DEB">
        <w:rPr>
          <w:rFonts w:cs="TimesTen-Roman"/>
        </w:rPr>
        <w:t>gebotskurve. Beim Monopol ergeben</w:t>
      </w:r>
      <w:r w:rsidR="009833DA" w:rsidRPr="00CE5DEB">
        <w:rPr>
          <w:rFonts w:cs="TimesTen-Roman"/>
        </w:rPr>
        <w:t xml:space="preserve"> sich der Preis und die Menge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aus dem Schnittpunkt der Grenzerlös- mit der Angebotskurve. In der Monopolsituation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wird eine kleinere Menge zu einem höheren Preis umgesetzt als bei vollkommener</w:t>
      </w:r>
      <w:r w:rsidR="00CE5DEB">
        <w:rPr>
          <w:rFonts w:cs="TimesTen-Roman"/>
        </w:rPr>
        <w:t xml:space="preserve"> </w:t>
      </w:r>
      <w:r w:rsidR="009833DA" w:rsidRPr="00CE5DEB">
        <w:rPr>
          <w:rFonts w:cs="TimesTen-Roman"/>
        </w:rPr>
        <w:t>Konkurrenz.</w:t>
      </w:r>
    </w:p>
    <w:sectPr w:rsidR="00DD669A" w:rsidRPr="0086548E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35286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5C05"/>
    <w:multiLevelType w:val="hybridMultilevel"/>
    <w:tmpl w:val="4574F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6"/>
  </w:num>
  <w:num w:numId="5">
    <w:abstractNumId w:val="29"/>
  </w:num>
  <w:num w:numId="6">
    <w:abstractNumId w:val="23"/>
  </w:num>
  <w:num w:numId="7">
    <w:abstractNumId w:val="4"/>
  </w:num>
  <w:num w:numId="8">
    <w:abstractNumId w:val="6"/>
  </w:num>
  <w:num w:numId="9">
    <w:abstractNumId w:val="9"/>
  </w:num>
  <w:num w:numId="10">
    <w:abstractNumId w:val="33"/>
  </w:num>
  <w:num w:numId="11">
    <w:abstractNumId w:val="28"/>
  </w:num>
  <w:num w:numId="12">
    <w:abstractNumId w:val="14"/>
  </w:num>
  <w:num w:numId="13">
    <w:abstractNumId w:val="11"/>
  </w:num>
  <w:num w:numId="14">
    <w:abstractNumId w:val="34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24"/>
  </w:num>
  <w:num w:numId="23">
    <w:abstractNumId w:val="20"/>
  </w:num>
  <w:num w:numId="24">
    <w:abstractNumId w:val="22"/>
  </w:num>
  <w:num w:numId="25">
    <w:abstractNumId w:val="31"/>
  </w:num>
  <w:num w:numId="26">
    <w:abstractNumId w:val="3"/>
  </w:num>
  <w:num w:numId="27">
    <w:abstractNumId w:val="32"/>
  </w:num>
  <w:num w:numId="28">
    <w:abstractNumId w:val="5"/>
  </w:num>
  <w:num w:numId="29">
    <w:abstractNumId w:val="17"/>
  </w:num>
  <w:num w:numId="30">
    <w:abstractNumId w:val="16"/>
  </w:num>
  <w:num w:numId="31">
    <w:abstractNumId w:val="2"/>
  </w:num>
  <w:num w:numId="32">
    <w:abstractNumId w:val="30"/>
  </w:num>
  <w:num w:numId="33">
    <w:abstractNumId w:val="21"/>
  </w:num>
  <w:num w:numId="34">
    <w:abstractNumId w:val="0"/>
  </w:num>
  <w:num w:numId="3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748D8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4E7CE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6548E"/>
    <w:rsid w:val="0088268E"/>
    <w:rsid w:val="00951DC3"/>
    <w:rsid w:val="00957AA6"/>
    <w:rsid w:val="0097638C"/>
    <w:rsid w:val="009833DA"/>
    <w:rsid w:val="009D274B"/>
    <w:rsid w:val="009E29A5"/>
    <w:rsid w:val="00A2055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E46C0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46D2C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A15B-C947-44CE-919B-D4A39C5E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3</cp:revision>
  <dcterms:created xsi:type="dcterms:W3CDTF">2018-05-04T11:09:00Z</dcterms:created>
  <dcterms:modified xsi:type="dcterms:W3CDTF">2018-05-04T14:42:00Z</dcterms:modified>
</cp:coreProperties>
</file>