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3DA" w:rsidRDefault="009833DA" w:rsidP="009833DA">
      <w:pPr>
        <w:autoSpaceDE w:val="0"/>
        <w:autoSpaceDN w:val="0"/>
        <w:adjustRightInd w:val="0"/>
        <w:spacing w:after="0" w:line="240" w:lineRule="auto"/>
        <w:rPr>
          <w:rFonts w:cs="TimesTen-Bold"/>
          <w:b/>
          <w:bCs/>
        </w:rPr>
      </w:pPr>
      <w:r>
        <w:rPr>
          <w:rFonts w:cs="TimesTen-Bold"/>
          <w:b/>
          <w:bCs/>
        </w:rPr>
        <w:t>Lösungen</w:t>
      </w:r>
    </w:p>
    <w:p w:rsidR="009833DA" w:rsidRDefault="009833DA" w:rsidP="009833DA">
      <w:pPr>
        <w:autoSpaceDE w:val="0"/>
        <w:autoSpaceDN w:val="0"/>
        <w:adjustRightInd w:val="0"/>
        <w:spacing w:after="0" w:line="240" w:lineRule="auto"/>
        <w:rPr>
          <w:rFonts w:cs="TimesTen-Bold"/>
          <w:b/>
          <w:bCs/>
        </w:rPr>
      </w:pPr>
    </w:p>
    <w:p w:rsidR="009833DA" w:rsidRDefault="009833DA" w:rsidP="009833DA">
      <w:pPr>
        <w:autoSpaceDE w:val="0"/>
        <w:autoSpaceDN w:val="0"/>
        <w:adjustRightInd w:val="0"/>
        <w:spacing w:after="0" w:line="240" w:lineRule="auto"/>
        <w:rPr>
          <w:rFonts w:cs="TimesTen-Bold"/>
          <w:b/>
          <w:bCs/>
        </w:rPr>
      </w:pPr>
    </w:p>
    <w:p w:rsidR="009833DA" w:rsidRPr="00E466A6" w:rsidRDefault="009833DA" w:rsidP="00E466A6">
      <w:pPr>
        <w:autoSpaceDE w:val="0"/>
        <w:autoSpaceDN w:val="0"/>
        <w:adjustRightInd w:val="0"/>
        <w:spacing w:after="0" w:line="240" w:lineRule="auto"/>
        <w:rPr>
          <w:rFonts w:cs="TimesTen-Bold"/>
          <w:b/>
          <w:bCs/>
          <w:sz w:val="32"/>
          <w:szCs w:val="32"/>
        </w:rPr>
      </w:pPr>
      <w:r>
        <w:rPr>
          <w:rFonts w:cs="TimesTen-Bold"/>
          <w:b/>
          <w:bCs/>
          <w:sz w:val="32"/>
          <w:szCs w:val="32"/>
        </w:rPr>
        <w:t xml:space="preserve">Repetitionsaufgaben </w:t>
      </w:r>
    </w:p>
    <w:p w:rsidR="003730AA" w:rsidRPr="003730AA" w:rsidRDefault="003730AA" w:rsidP="003730AA">
      <w:pPr>
        <w:pStyle w:val="Listenabsatz"/>
        <w:rPr>
          <w:rFonts w:cs="TimesTen-Bold"/>
          <w:bCs/>
        </w:rPr>
      </w:pPr>
    </w:p>
    <w:p w:rsidR="003730AA" w:rsidRPr="003730AA" w:rsidRDefault="003730AA" w:rsidP="003730AA">
      <w:pPr>
        <w:pStyle w:val="Listenabsatz"/>
        <w:autoSpaceDE w:val="0"/>
        <w:autoSpaceDN w:val="0"/>
        <w:adjustRightInd w:val="0"/>
        <w:spacing w:after="0" w:line="240" w:lineRule="auto"/>
        <w:rPr>
          <w:rFonts w:cs="TimesTen-Bold"/>
          <w:bCs/>
        </w:rPr>
      </w:pPr>
    </w:p>
    <w:p w:rsidR="009833DA" w:rsidRDefault="0002178F" w:rsidP="009833DA">
      <w:pPr>
        <w:autoSpaceDE w:val="0"/>
        <w:autoSpaceDN w:val="0"/>
        <w:adjustRightInd w:val="0"/>
        <w:spacing w:after="0" w:line="240" w:lineRule="auto"/>
        <w:rPr>
          <w:rFonts w:cs="TimesTen-Bold"/>
          <w:b/>
          <w:bCs/>
        </w:rPr>
      </w:pPr>
      <w:r>
        <w:rPr>
          <w:rFonts w:cs="TimesTen-Bold"/>
          <w:b/>
          <w:bCs/>
        </w:rPr>
        <w:t>Kapitel 15</w:t>
      </w:r>
    </w:p>
    <w:p w:rsidR="00F11718" w:rsidRDefault="00F11718" w:rsidP="009833DA">
      <w:pPr>
        <w:autoSpaceDE w:val="0"/>
        <w:autoSpaceDN w:val="0"/>
        <w:adjustRightInd w:val="0"/>
        <w:spacing w:after="0" w:line="240" w:lineRule="auto"/>
        <w:rPr>
          <w:rFonts w:cs="TimesTen-Bold"/>
          <w:b/>
          <w:bCs/>
        </w:rPr>
      </w:pPr>
    </w:p>
    <w:p w:rsidR="00F11718" w:rsidRPr="00E466A6" w:rsidRDefault="00E466A6" w:rsidP="00E466A6">
      <w:pPr>
        <w:pStyle w:val="Listenabsatz"/>
        <w:numPr>
          <w:ilvl w:val="0"/>
          <w:numId w:val="30"/>
        </w:numPr>
        <w:autoSpaceDE w:val="0"/>
        <w:autoSpaceDN w:val="0"/>
        <w:adjustRightInd w:val="0"/>
        <w:spacing w:after="120" w:line="240" w:lineRule="auto"/>
        <w:ind w:left="709" w:hanging="283"/>
        <w:contextualSpacing w:val="0"/>
        <w:rPr>
          <w:rFonts w:cs="TimesTen-Bold"/>
          <w:b/>
          <w:bCs/>
        </w:rPr>
      </w:pPr>
      <w:r w:rsidRPr="00E466A6">
        <w:rPr>
          <w:rFonts w:cs="TimesTen-Bold"/>
          <w:b/>
          <w:bCs/>
        </w:rPr>
        <w:t xml:space="preserve">Zur Kaufkraftparitätentheorie: </w:t>
      </w:r>
    </w:p>
    <w:p w:rsidR="009833DA" w:rsidRDefault="00E466A6" w:rsidP="00E466A6">
      <w:pPr>
        <w:pStyle w:val="Listenabsatz"/>
        <w:numPr>
          <w:ilvl w:val="0"/>
          <w:numId w:val="31"/>
        </w:numPr>
        <w:autoSpaceDE w:val="0"/>
        <w:autoSpaceDN w:val="0"/>
        <w:adjustRightInd w:val="0"/>
        <w:spacing w:after="120" w:line="240" w:lineRule="auto"/>
        <w:contextualSpacing w:val="0"/>
        <w:rPr>
          <w:rFonts w:cs="TimesTen-Roman"/>
        </w:rPr>
      </w:pPr>
      <w:r w:rsidRPr="00E466A6">
        <w:rPr>
          <w:rFonts w:cs="TimesTen-Bold"/>
          <w:b/>
          <w:bCs/>
        </w:rPr>
        <w:t>Aussage:</w:t>
      </w:r>
      <w:r>
        <w:rPr>
          <w:rFonts w:cs="TimesTen-Bold"/>
          <w:bCs/>
        </w:rPr>
        <w:t xml:space="preserve"> </w:t>
      </w:r>
      <w:r w:rsidR="00F11718">
        <w:rPr>
          <w:rFonts w:cs="TimesTen-Bold"/>
          <w:bCs/>
        </w:rPr>
        <w:t>Die Kaufkraftparitätentheorie</w:t>
      </w:r>
      <w:r w:rsidR="009833DA" w:rsidRPr="009833DA">
        <w:rPr>
          <w:rFonts w:cs="TimesTen-Roman"/>
        </w:rPr>
        <w:t xml:space="preserve"> besagt, dass die Änderung des Wechselkurses durch die Differenz in den Inflationsraten</w:t>
      </w:r>
      <w:r w:rsidR="00F11718">
        <w:rPr>
          <w:rFonts w:cs="TimesTen-Roman"/>
        </w:rPr>
        <w:t xml:space="preserve"> </w:t>
      </w:r>
      <w:r w:rsidR="009833DA" w:rsidRPr="009833DA">
        <w:rPr>
          <w:rFonts w:cs="TimesTen-Roman"/>
        </w:rPr>
        <w:t>bestimmt wird. Der Wechselkurs sorgt damit für den Ausgleich der</w:t>
      </w:r>
      <w:r w:rsidR="00F11718">
        <w:rPr>
          <w:rFonts w:cs="TimesTen-Roman"/>
        </w:rPr>
        <w:t xml:space="preserve"> </w:t>
      </w:r>
      <w:r w:rsidR="009833DA" w:rsidRPr="009833DA">
        <w:rPr>
          <w:rFonts w:cs="TimesTen-Roman"/>
        </w:rPr>
        <w:t>Kaufkraft von verschiedenen Währungen.</w:t>
      </w:r>
    </w:p>
    <w:p w:rsidR="009833DA" w:rsidRPr="00F11718" w:rsidRDefault="00E466A6" w:rsidP="00E466A6">
      <w:pPr>
        <w:pStyle w:val="Listenabsatz"/>
        <w:numPr>
          <w:ilvl w:val="0"/>
          <w:numId w:val="31"/>
        </w:numPr>
        <w:autoSpaceDE w:val="0"/>
        <w:autoSpaceDN w:val="0"/>
        <w:adjustRightInd w:val="0"/>
        <w:spacing w:after="120" w:line="240" w:lineRule="auto"/>
        <w:contextualSpacing w:val="0"/>
        <w:rPr>
          <w:rFonts w:cs="TimesTen-Bold"/>
          <w:bCs/>
        </w:rPr>
      </w:pPr>
      <w:r w:rsidRPr="00E466A6">
        <w:rPr>
          <w:rFonts w:cs="TimesTen-Roman"/>
          <w:b/>
        </w:rPr>
        <w:t>Abweichungen:</w:t>
      </w:r>
      <w:r>
        <w:rPr>
          <w:rFonts w:cs="TimesTen-Roman"/>
        </w:rPr>
        <w:t xml:space="preserve"> </w:t>
      </w:r>
      <w:r w:rsidR="009833DA" w:rsidRPr="00F11718">
        <w:rPr>
          <w:rFonts w:cs="TimesTen-Roman"/>
        </w:rPr>
        <w:t xml:space="preserve">Hauptsächlich </w:t>
      </w:r>
      <w:r>
        <w:rPr>
          <w:rFonts w:cs="TimesTen-Roman"/>
        </w:rPr>
        <w:t>können die Wechselkurse von den Kaufkraftparitäten abweichen</w:t>
      </w:r>
      <w:r w:rsidR="009833DA" w:rsidRPr="00F11718">
        <w:rPr>
          <w:rFonts w:cs="TimesTen-Roman"/>
        </w:rPr>
        <w:t>, weil ein bedeutender Teil der Nachfrage und des Angebotes</w:t>
      </w:r>
      <w:r w:rsidR="00F11718">
        <w:rPr>
          <w:rFonts w:cs="TimesTen-Roman"/>
        </w:rPr>
        <w:t xml:space="preserve"> </w:t>
      </w:r>
      <w:r w:rsidR="009833DA" w:rsidRPr="00F11718">
        <w:rPr>
          <w:rFonts w:cs="TimesTen-Roman"/>
        </w:rPr>
        <w:t>aufgrund von reinen Kapitalbewegungen entsteht und nicht aufgrund von</w:t>
      </w:r>
      <w:r w:rsidR="00F11718">
        <w:rPr>
          <w:rFonts w:cs="TimesTen-Roman"/>
        </w:rPr>
        <w:t xml:space="preserve"> </w:t>
      </w:r>
      <w:r w:rsidR="009833DA" w:rsidRPr="00F11718">
        <w:rPr>
          <w:rFonts w:cs="TimesTen-Roman"/>
        </w:rPr>
        <w:t>Güter- und Dienstleistungskäufen bzw. -verkäufen.</w:t>
      </w:r>
    </w:p>
    <w:p w:rsidR="00F11718" w:rsidRDefault="00F11718" w:rsidP="00F11718">
      <w:pPr>
        <w:autoSpaceDE w:val="0"/>
        <w:autoSpaceDN w:val="0"/>
        <w:adjustRightInd w:val="0"/>
        <w:spacing w:after="0" w:line="240" w:lineRule="auto"/>
        <w:rPr>
          <w:rFonts w:cs="TimesTen-Bold"/>
          <w:bCs/>
        </w:rPr>
      </w:pPr>
    </w:p>
    <w:p w:rsidR="00F11718" w:rsidRDefault="00922DBB" w:rsidP="00922DBB">
      <w:pPr>
        <w:pStyle w:val="Listenabsatz"/>
        <w:numPr>
          <w:ilvl w:val="0"/>
          <w:numId w:val="30"/>
        </w:numPr>
        <w:autoSpaceDE w:val="0"/>
        <w:autoSpaceDN w:val="0"/>
        <w:adjustRightInd w:val="0"/>
        <w:spacing w:after="120" w:line="240" w:lineRule="auto"/>
        <w:ind w:left="709" w:hanging="283"/>
        <w:contextualSpacing w:val="0"/>
        <w:rPr>
          <w:rFonts w:cs="TimesTen-Bold"/>
          <w:bCs/>
        </w:rPr>
      </w:pPr>
      <w:r w:rsidRPr="00922DBB">
        <w:rPr>
          <w:rFonts w:cs="TimesTen-Bold"/>
          <w:b/>
          <w:bCs/>
        </w:rPr>
        <w:t>Überbewertete Währung</w:t>
      </w:r>
      <w:r>
        <w:rPr>
          <w:rFonts w:cs="TimesTen-Bold"/>
          <w:bCs/>
        </w:rPr>
        <w:t xml:space="preserve"> und Eingriffe der Notenbank: </w:t>
      </w:r>
    </w:p>
    <w:p w:rsidR="009833DA" w:rsidRPr="00F11718" w:rsidRDefault="00922DBB" w:rsidP="00922DBB">
      <w:pPr>
        <w:pStyle w:val="Listenabsatz"/>
        <w:numPr>
          <w:ilvl w:val="0"/>
          <w:numId w:val="32"/>
        </w:numPr>
        <w:autoSpaceDE w:val="0"/>
        <w:autoSpaceDN w:val="0"/>
        <w:adjustRightInd w:val="0"/>
        <w:spacing w:after="120" w:line="240" w:lineRule="auto"/>
        <w:contextualSpacing w:val="0"/>
        <w:rPr>
          <w:rFonts w:cs="TimesTen-Bold"/>
          <w:bCs/>
        </w:rPr>
      </w:pPr>
      <w:r w:rsidRPr="00922DBB">
        <w:rPr>
          <w:rFonts w:cs="TimesTen-Roman"/>
          <w:b/>
        </w:rPr>
        <w:t xml:space="preserve">Was </w:t>
      </w:r>
      <w:proofErr w:type="spellStart"/>
      <w:r w:rsidRPr="00922DBB">
        <w:rPr>
          <w:rFonts w:cs="TimesTen-Roman"/>
          <w:b/>
        </w:rPr>
        <w:t>heitsst</w:t>
      </w:r>
      <w:proofErr w:type="spellEnd"/>
      <w:r w:rsidRPr="00922DBB">
        <w:rPr>
          <w:rFonts w:cs="TimesTen-Roman"/>
          <w:b/>
        </w:rPr>
        <w:t xml:space="preserve"> „überbewertet“?</w:t>
      </w:r>
      <w:r>
        <w:rPr>
          <w:rFonts w:cs="TimesTen-Roman"/>
        </w:rPr>
        <w:t xml:space="preserve"> </w:t>
      </w:r>
      <w:proofErr w:type="gramStart"/>
      <w:r w:rsidR="009833DA" w:rsidRPr="00F11718">
        <w:rPr>
          <w:rFonts w:cs="TimesTen-Roman"/>
        </w:rPr>
        <w:t>Eine</w:t>
      </w:r>
      <w:proofErr w:type="gramEnd"/>
      <w:r w:rsidR="009833DA" w:rsidRPr="00F11718">
        <w:rPr>
          <w:rFonts w:cs="TimesTen-Roman"/>
        </w:rPr>
        <w:t xml:space="preserve"> Währung wird als überbewertet bezeichnet, wenn die Kaufkraftparität</w:t>
      </w:r>
      <w:r w:rsidR="00F11718">
        <w:rPr>
          <w:rFonts w:cs="TimesTen-Roman"/>
        </w:rPr>
        <w:t xml:space="preserve"> </w:t>
      </w:r>
      <w:r w:rsidR="009833DA" w:rsidRPr="00F11718">
        <w:rPr>
          <w:rFonts w:cs="TimesTen-Roman"/>
        </w:rPr>
        <w:t>nicht gegeben ist; wenn mit einer bestimmten Summe der einheimischen Währung</w:t>
      </w:r>
      <w:r w:rsidR="00F11718">
        <w:rPr>
          <w:rFonts w:cs="TimesTen-Roman"/>
        </w:rPr>
        <w:t xml:space="preserve"> </w:t>
      </w:r>
      <w:r w:rsidR="009833DA" w:rsidRPr="00F11718">
        <w:rPr>
          <w:rFonts w:cs="TimesTen-Roman"/>
        </w:rPr>
        <w:t>– umgetauscht in die ausländische Währung – im Ausland mehr gekauft</w:t>
      </w:r>
      <w:r w:rsidR="00F11718">
        <w:rPr>
          <w:rFonts w:cs="TimesTen-Roman"/>
        </w:rPr>
        <w:t xml:space="preserve"> </w:t>
      </w:r>
      <w:r w:rsidR="009833DA" w:rsidRPr="00F11718">
        <w:rPr>
          <w:rFonts w:cs="TimesTen-Roman"/>
        </w:rPr>
        <w:t>werden kann als im Inland.</w:t>
      </w:r>
    </w:p>
    <w:p w:rsidR="009833DA" w:rsidRPr="00F11718" w:rsidRDefault="00922DBB" w:rsidP="00922DBB">
      <w:pPr>
        <w:pStyle w:val="Listenabsatz"/>
        <w:numPr>
          <w:ilvl w:val="0"/>
          <w:numId w:val="32"/>
        </w:numPr>
        <w:autoSpaceDE w:val="0"/>
        <w:autoSpaceDN w:val="0"/>
        <w:adjustRightInd w:val="0"/>
        <w:spacing w:after="120" w:line="240" w:lineRule="auto"/>
        <w:contextualSpacing w:val="0"/>
        <w:rPr>
          <w:rFonts w:cs="TimesTen-Bold"/>
          <w:bCs/>
        </w:rPr>
      </w:pPr>
      <w:r w:rsidRPr="00922DBB">
        <w:rPr>
          <w:rFonts w:cs="TimesTen-Roman"/>
          <w:b/>
        </w:rPr>
        <w:t>Folgen eines überbewerteten Frankens:</w:t>
      </w:r>
      <w:r>
        <w:rPr>
          <w:rFonts w:cs="TimesTen-Roman"/>
        </w:rPr>
        <w:t xml:space="preserve"> </w:t>
      </w:r>
      <w:r w:rsidR="009833DA" w:rsidRPr="00F11718">
        <w:rPr>
          <w:rFonts w:cs="TimesTen-Roman"/>
        </w:rPr>
        <w:t>Ein überbewerteter Franken schwächt die inländische Konjunktur, es entstehen</w:t>
      </w:r>
      <w:r w:rsidR="00F11718">
        <w:rPr>
          <w:rFonts w:cs="TimesTen-Roman"/>
        </w:rPr>
        <w:t xml:space="preserve"> Absatz-, Ausfuhr</w:t>
      </w:r>
      <w:r w:rsidR="009833DA" w:rsidRPr="00F11718">
        <w:rPr>
          <w:rFonts w:cs="TimesTen-Roman"/>
        </w:rPr>
        <w:t>- und Beschäftigungsprobleme in der Exportwirtschaft.</w:t>
      </w:r>
    </w:p>
    <w:p w:rsidR="00922DBB" w:rsidRPr="00922DBB" w:rsidRDefault="00922DBB" w:rsidP="00922DBB">
      <w:pPr>
        <w:pStyle w:val="Listenabsatz"/>
        <w:numPr>
          <w:ilvl w:val="0"/>
          <w:numId w:val="32"/>
        </w:numPr>
        <w:autoSpaceDE w:val="0"/>
        <w:autoSpaceDN w:val="0"/>
        <w:adjustRightInd w:val="0"/>
        <w:spacing w:after="120" w:line="240" w:lineRule="auto"/>
        <w:contextualSpacing w:val="0"/>
        <w:rPr>
          <w:rFonts w:cs="TimesTen-Bold"/>
          <w:bCs/>
        </w:rPr>
      </w:pPr>
      <w:r w:rsidRPr="00922DBB">
        <w:rPr>
          <w:rFonts w:cs="TimesTen-Roman"/>
          <w:b/>
        </w:rPr>
        <w:t>Erfolg von Dev</w:t>
      </w:r>
      <w:r>
        <w:rPr>
          <w:rFonts w:cs="TimesTen-Roman"/>
          <w:b/>
        </w:rPr>
        <w:t>is</w:t>
      </w:r>
      <w:r w:rsidRPr="00922DBB">
        <w:rPr>
          <w:rFonts w:cs="TimesTen-Roman"/>
          <w:b/>
        </w:rPr>
        <w:t>enmarktinterventionen:</w:t>
      </w:r>
      <w:r>
        <w:rPr>
          <w:rFonts w:cs="TimesTen-Roman"/>
        </w:rPr>
        <w:t xml:space="preserve"> </w:t>
      </w:r>
      <w:r w:rsidR="00F11718">
        <w:rPr>
          <w:rFonts w:cs="TimesTen-Roman"/>
        </w:rPr>
        <w:t>E</w:t>
      </w:r>
      <w:r w:rsidR="009833DA" w:rsidRPr="00F11718">
        <w:rPr>
          <w:rFonts w:cs="TimesTen-Roman"/>
        </w:rPr>
        <w:t>s darf sich</w:t>
      </w:r>
      <w:r w:rsidR="00F11718">
        <w:rPr>
          <w:rFonts w:cs="TimesTen-Roman"/>
        </w:rPr>
        <w:t xml:space="preserve"> </w:t>
      </w:r>
      <w:r w:rsidR="009833DA" w:rsidRPr="00F11718">
        <w:rPr>
          <w:rFonts w:cs="TimesTen-Roman"/>
        </w:rPr>
        <w:t xml:space="preserve">nur um kurzfristige Störungen </w:t>
      </w:r>
      <w:r>
        <w:rPr>
          <w:rFonts w:cs="TimesTen-Roman"/>
        </w:rPr>
        <w:t xml:space="preserve">auf dem Devisenmarkt </w:t>
      </w:r>
      <w:r w:rsidRPr="00922DBB">
        <w:t>handeln, langfristige Trends der grundlegenden Marktkräfte können durch die Nationalbanken nicht umgekehrt werden (bzw. die Nationalbanken sind nicht bereit, die Opportunitätskosten zu tragen</w:t>
      </w:r>
      <w:r>
        <w:t>)</w:t>
      </w:r>
      <w:r w:rsidRPr="00922DBB">
        <w:t xml:space="preserve">. Erhöht wird die Erfolgswahrscheinlichkeit, wenn gemeinsame Interventionen von verschiedenen Nationalbanken koordiniert werden. </w:t>
      </w:r>
    </w:p>
    <w:p w:rsidR="00F11718" w:rsidRDefault="00F11718" w:rsidP="00F11718">
      <w:pPr>
        <w:autoSpaceDE w:val="0"/>
        <w:autoSpaceDN w:val="0"/>
        <w:adjustRightInd w:val="0"/>
        <w:spacing w:after="0" w:line="240" w:lineRule="auto"/>
        <w:rPr>
          <w:rFonts w:cs="TimesTen-Bold"/>
          <w:bCs/>
        </w:rPr>
      </w:pPr>
    </w:p>
    <w:p w:rsidR="00F11718" w:rsidRDefault="00922DBB" w:rsidP="00922DBB">
      <w:pPr>
        <w:pStyle w:val="Listenabsatz"/>
        <w:numPr>
          <w:ilvl w:val="0"/>
          <w:numId w:val="30"/>
        </w:numPr>
        <w:autoSpaceDE w:val="0"/>
        <w:autoSpaceDN w:val="0"/>
        <w:adjustRightInd w:val="0"/>
        <w:spacing w:after="120" w:line="240" w:lineRule="auto"/>
        <w:ind w:left="709" w:hanging="283"/>
        <w:contextualSpacing w:val="0"/>
        <w:rPr>
          <w:rFonts w:cs="TimesTen-Bold"/>
          <w:bCs/>
        </w:rPr>
      </w:pPr>
      <w:r w:rsidRPr="00922DBB">
        <w:rPr>
          <w:rFonts w:cs="TimesTen-Bold"/>
          <w:b/>
          <w:bCs/>
        </w:rPr>
        <w:t>Vor und Nachteile von flexiblen Wechselkursen</w:t>
      </w:r>
      <w:r>
        <w:rPr>
          <w:rFonts w:cs="TimesTen-Bold"/>
          <w:bCs/>
        </w:rPr>
        <w:t>:</w:t>
      </w:r>
    </w:p>
    <w:p w:rsidR="009833DA" w:rsidRPr="0002178F" w:rsidRDefault="007D5892" w:rsidP="00922DBB">
      <w:pPr>
        <w:pStyle w:val="Listenabsatz"/>
        <w:numPr>
          <w:ilvl w:val="0"/>
          <w:numId w:val="33"/>
        </w:numPr>
        <w:autoSpaceDE w:val="0"/>
        <w:autoSpaceDN w:val="0"/>
        <w:adjustRightInd w:val="0"/>
        <w:spacing w:after="120" w:line="240" w:lineRule="auto"/>
        <w:ind w:left="1134" w:hanging="425"/>
        <w:contextualSpacing w:val="0"/>
        <w:rPr>
          <w:rFonts w:cs="TimesTen-Bold"/>
          <w:bCs/>
        </w:rPr>
      </w:pPr>
      <w:r w:rsidRPr="007D5892">
        <w:rPr>
          <w:rFonts w:cs="TimesTen-Roman"/>
          <w:b/>
        </w:rPr>
        <w:t xml:space="preserve">Vorteile: </w:t>
      </w:r>
      <w:r w:rsidR="009833DA" w:rsidRPr="0002178F">
        <w:rPr>
          <w:rFonts w:cs="TimesTen-Roman"/>
        </w:rPr>
        <w:t>Schwankende Wechselkurse widerspiegeln unterschiedliche wirtschaftliche und</w:t>
      </w:r>
      <w:r w:rsidR="0002178F">
        <w:rPr>
          <w:rFonts w:cs="TimesTen-Roman"/>
        </w:rPr>
        <w:t xml:space="preserve"> </w:t>
      </w:r>
      <w:r w:rsidR="009833DA" w:rsidRPr="0002178F">
        <w:rPr>
          <w:rFonts w:cs="TimesTen-Roman"/>
        </w:rPr>
        <w:t>politische Entwicklungen von Ländern. Flexible Wechselkurse erlauben den</w:t>
      </w:r>
      <w:r w:rsidR="0002178F">
        <w:rPr>
          <w:rFonts w:cs="TimesTen-Roman"/>
        </w:rPr>
        <w:t xml:space="preserve"> </w:t>
      </w:r>
      <w:r w:rsidR="009833DA" w:rsidRPr="0002178F">
        <w:rPr>
          <w:rFonts w:cs="TimesTen-Roman"/>
        </w:rPr>
        <w:t>Nationalbanken eine autonome Geldpolitik zu betreiben.</w:t>
      </w:r>
    </w:p>
    <w:p w:rsidR="009833DA" w:rsidRPr="0002178F" w:rsidRDefault="007D5892" w:rsidP="00922DBB">
      <w:pPr>
        <w:pStyle w:val="Listenabsatz"/>
        <w:numPr>
          <w:ilvl w:val="0"/>
          <w:numId w:val="33"/>
        </w:numPr>
        <w:autoSpaceDE w:val="0"/>
        <w:autoSpaceDN w:val="0"/>
        <w:adjustRightInd w:val="0"/>
        <w:spacing w:after="120" w:line="240" w:lineRule="auto"/>
        <w:ind w:left="1134" w:hanging="425"/>
        <w:contextualSpacing w:val="0"/>
        <w:rPr>
          <w:rFonts w:cs="TimesTen-Bold"/>
          <w:bCs/>
        </w:rPr>
      </w:pPr>
      <w:r w:rsidRPr="007D5892">
        <w:rPr>
          <w:rFonts w:cs="TimesTen-Roman"/>
          <w:b/>
        </w:rPr>
        <w:t>Nachteile:</w:t>
      </w:r>
      <w:r>
        <w:rPr>
          <w:rFonts w:cs="TimesTen-Roman"/>
        </w:rPr>
        <w:t xml:space="preserve"> </w:t>
      </w:r>
      <w:r w:rsidR="009833DA" w:rsidRPr="0002178F">
        <w:rPr>
          <w:rFonts w:cs="TimesTen-Roman"/>
        </w:rPr>
        <w:t>Unsichere Kalkulations- und Handelsbasis, die den freien Verkehr behindern;</w:t>
      </w:r>
      <w:r w:rsidR="0002178F">
        <w:rPr>
          <w:rFonts w:cs="TimesTen-Roman"/>
        </w:rPr>
        <w:t xml:space="preserve"> </w:t>
      </w:r>
      <w:r w:rsidR="009833DA" w:rsidRPr="0002178F">
        <w:rPr>
          <w:rFonts w:cs="TimesTen-Roman"/>
        </w:rPr>
        <w:t>Beschäftigungsschwankungen in der Exportwirtschaft</w:t>
      </w:r>
      <w:r w:rsidR="0002178F">
        <w:rPr>
          <w:rFonts w:cs="TimesTen-Roman"/>
        </w:rPr>
        <w:t>.</w:t>
      </w:r>
    </w:p>
    <w:p w:rsidR="0002178F" w:rsidRDefault="0002178F" w:rsidP="0002178F">
      <w:pPr>
        <w:autoSpaceDE w:val="0"/>
        <w:autoSpaceDN w:val="0"/>
        <w:adjustRightInd w:val="0"/>
        <w:spacing w:after="0" w:line="240" w:lineRule="auto"/>
        <w:rPr>
          <w:rFonts w:cs="TimesTen-Bold"/>
          <w:bCs/>
        </w:rPr>
      </w:pPr>
    </w:p>
    <w:p w:rsidR="009833DA" w:rsidRPr="0002178F" w:rsidRDefault="007D5892" w:rsidP="009833DA">
      <w:pPr>
        <w:pStyle w:val="Listenabsatz"/>
        <w:numPr>
          <w:ilvl w:val="0"/>
          <w:numId w:val="30"/>
        </w:numPr>
        <w:autoSpaceDE w:val="0"/>
        <w:autoSpaceDN w:val="0"/>
        <w:adjustRightInd w:val="0"/>
        <w:spacing w:after="0" w:line="240" w:lineRule="auto"/>
        <w:ind w:left="709" w:hanging="283"/>
        <w:rPr>
          <w:rFonts w:cs="TimesTen-Bold"/>
          <w:bCs/>
        </w:rPr>
      </w:pPr>
      <w:r w:rsidRPr="007D5892">
        <w:rPr>
          <w:rFonts w:cs="TimesTen-Roman"/>
          <w:b/>
        </w:rPr>
        <w:t>Rolle des IMF:</w:t>
      </w:r>
      <w:r>
        <w:rPr>
          <w:rFonts w:cs="TimesTen-Roman"/>
        </w:rPr>
        <w:t xml:space="preserve"> </w:t>
      </w:r>
      <w:r w:rsidR="009833DA" w:rsidRPr="0002178F">
        <w:rPr>
          <w:rFonts w:cs="TimesTen-Roman"/>
        </w:rPr>
        <w:t>Er übernimmt die Rolle des Bankiers (Sonderziehungsrechte), die Rolle des Polizisten</w:t>
      </w:r>
      <w:r w:rsidR="0002178F">
        <w:rPr>
          <w:rFonts w:cs="TimesTen-Roman"/>
        </w:rPr>
        <w:t xml:space="preserve"> </w:t>
      </w:r>
      <w:r w:rsidR="009833DA" w:rsidRPr="0002178F">
        <w:rPr>
          <w:rFonts w:cs="TimesTen-Roman"/>
        </w:rPr>
        <w:t>(Bedingungen für die Geldvergabe) und die Rolle des Doktors (verschiedene</w:t>
      </w:r>
      <w:r w:rsidR="0002178F">
        <w:rPr>
          <w:rFonts w:cs="TimesTen-Roman"/>
        </w:rPr>
        <w:t xml:space="preserve"> </w:t>
      </w:r>
      <w:r w:rsidR="009833DA" w:rsidRPr="0002178F">
        <w:rPr>
          <w:rFonts w:cs="TimesTen-Roman"/>
        </w:rPr>
        <w:t>Fazilitäten für bestimmte «Krankheiten»).</w:t>
      </w:r>
    </w:p>
    <w:p w:rsidR="0002178F" w:rsidRPr="0002178F" w:rsidRDefault="0002178F" w:rsidP="0002178F">
      <w:pPr>
        <w:pStyle w:val="Listenabsatz"/>
        <w:autoSpaceDE w:val="0"/>
        <w:autoSpaceDN w:val="0"/>
        <w:adjustRightInd w:val="0"/>
        <w:spacing w:after="0" w:line="240" w:lineRule="auto"/>
        <w:ind w:left="709"/>
        <w:rPr>
          <w:rFonts w:cs="TimesTen-Bold"/>
          <w:bCs/>
        </w:rPr>
      </w:pPr>
    </w:p>
    <w:p w:rsidR="007D5892" w:rsidRPr="007D5892" w:rsidRDefault="007D5892" w:rsidP="007D5892">
      <w:pPr>
        <w:pStyle w:val="Listenabsatz"/>
        <w:numPr>
          <w:ilvl w:val="0"/>
          <w:numId w:val="30"/>
        </w:numPr>
        <w:autoSpaceDE w:val="0"/>
        <w:autoSpaceDN w:val="0"/>
        <w:adjustRightInd w:val="0"/>
        <w:spacing w:after="120" w:line="240" w:lineRule="auto"/>
        <w:ind w:left="709" w:hanging="283"/>
        <w:rPr>
          <w:rFonts w:cs="TimesTen-Bold"/>
          <w:b/>
          <w:bCs/>
        </w:rPr>
      </w:pPr>
      <w:r w:rsidRPr="007D5892">
        <w:rPr>
          <w:b/>
        </w:rPr>
        <w:t xml:space="preserve">Zur Europäischen Währungsunion: </w:t>
      </w:r>
    </w:p>
    <w:p w:rsidR="007D5892" w:rsidRDefault="007D5892" w:rsidP="007D5892">
      <w:pPr>
        <w:pStyle w:val="Default"/>
        <w:spacing w:after="120"/>
        <w:ind w:left="1080"/>
        <w:rPr>
          <w:sz w:val="22"/>
          <w:szCs w:val="22"/>
        </w:rPr>
      </w:pPr>
      <w:r>
        <w:rPr>
          <w:sz w:val="22"/>
          <w:szCs w:val="22"/>
        </w:rPr>
        <w:t xml:space="preserve">a) </w:t>
      </w:r>
      <w:r w:rsidRPr="007D5892">
        <w:rPr>
          <w:b/>
          <w:sz w:val="22"/>
          <w:szCs w:val="22"/>
        </w:rPr>
        <w:t xml:space="preserve">Beweggründe: </w:t>
      </w:r>
      <w:r>
        <w:rPr>
          <w:sz w:val="22"/>
          <w:szCs w:val="22"/>
        </w:rPr>
        <w:t xml:space="preserve">Senkung der Transaktionskosten, Steigerung des Wachstums, Erhöhung der Preisstabilität, Harmonisierung des Zinsniveaus, Stärkung der politischen Einigung. </w:t>
      </w:r>
    </w:p>
    <w:p w:rsidR="007D5892" w:rsidRDefault="007D5892" w:rsidP="007D5892">
      <w:pPr>
        <w:pStyle w:val="Default"/>
        <w:spacing w:after="120"/>
        <w:ind w:left="1080"/>
        <w:rPr>
          <w:sz w:val="22"/>
          <w:szCs w:val="22"/>
        </w:rPr>
      </w:pPr>
      <w:r>
        <w:rPr>
          <w:sz w:val="22"/>
          <w:szCs w:val="22"/>
        </w:rPr>
        <w:lastRenderedPageBreak/>
        <w:t>b)</w:t>
      </w:r>
      <w:r>
        <w:rPr>
          <w:sz w:val="22"/>
          <w:szCs w:val="22"/>
        </w:rPr>
        <w:t xml:space="preserve"> </w:t>
      </w:r>
      <w:r w:rsidRPr="007D5892">
        <w:rPr>
          <w:b/>
          <w:sz w:val="22"/>
          <w:szCs w:val="22"/>
        </w:rPr>
        <w:t>Kritik:</w:t>
      </w:r>
      <w:r>
        <w:rPr>
          <w:sz w:val="22"/>
          <w:szCs w:val="22"/>
        </w:rPr>
        <w:t xml:space="preserve"> Unterschiedliche Wirtschaftsstrukturen, Wirtschaftspolitiken und Kulturen bewirken unterschiedliche Entwicklungsmuster, welche bei einer gemeinsamen Währung zu grossen Problemen führen. Ohne politische Union kann eine Währungsunion nicht überleben. Die notwendige Solidarität für Transferzahlungen (um Wohlstandsunterschiede auszugleichen) ist in der EU nicht vorhanden. </w:t>
      </w:r>
    </w:p>
    <w:p w:rsidR="0002178F" w:rsidRPr="007D5892" w:rsidRDefault="0002178F" w:rsidP="0002178F">
      <w:pPr>
        <w:pStyle w:val="Listenabsatz"/>
        <w:rPr>
          <w:rFonts w:cs="TimesTen-Bold"/>
          <w:bCs/>
          <w:lang w:val="de-CH"/>
        </w:rPr>
      </w:pPr>
    </w:p>
    <w:p w:rsidR="007D5892" w:rsidRPr="007D5892" w:rsidRDefault="007D5892" w:rsidP="007D5892">
      <w:pPr>
        <w:pStyle w:val="Listenabsatz"/>
        <w:numPr>
          <w:ilvl w:val="0"/>
          <w:numId w:val="30"/>
        </w:numPr>
        <w:autoSpaceDE w:val="0"/>
        <w:autoSpaceDN w:val="0"/>
        <w:adjustRightInd w:val="0"/>
        <w:spacing w:after="0" w:line="240" w:lineRule="auto"/>
        <w:ind w:left="709" w:hanging="283"/>
        <w:rPr>
          <w:rFonts w:cs="TimesTen-Bold"/>
          <w:bCs/>
        </w:rPr>
      </w:pPr>
      <w:r w:rsidRPr="007D5892">
        <w:rPr>
          <w:b/>
          <w:bCs/>
        </w:rPr>
        <w:t xml:space="preserve">Gründe </w:t>
      </w:r>
      <w:r w:rsidRPr="007D5892">
        <w:rPr>
          <w:b/>
        </w:rPr>
        <w:t xml:space="preserve">für die Einführung des Mindestkurses </w:t>
      </w:r>
      <w:r w:rsidRPr="007D5892">
        <w:rPr>
          <w:b/>
        </w:rPr>
        <w:t>gegenüber dem</w:t>
      </w:r>
      <w:r w:rsidRPr="007D5892">
        <w:rPr>
          <w:b/>
        </w:rPr>
        <w:t xml:space="preserve"> Euro:</w:t>
      </w:r>
      <w:r w:rsidRPr="007D5892">
        <w:t xml:space="preserve"> Die massive und schnelle Aufwertung des Frankens – trotz Devisenmarktinterventionen der SNB – erhöhte die Gefahren einer tiefen Rezession und einer Deflation. Gemäss Kaufkraftparitäten war der Franken zudem deutlich überbewertet. </w:t>
      </w:r>
      <w:r w:rsidR="00C22D80">
        <w:t>Deshalb erklärte die SNB am 6. September 2011, dass sie keinen Euro-Franken-Kurs unter 1.20 toleriere und dass sie diese Grenze mit aller Konsequenz durchsetzen werde.</w:t>
      </w:r>
      <w:bookmarkStart w:id="0" w:name="_GoBack"/>
      <w:bookmarkEnd w:id="0"/>
    </w:p>
    <w:p w:rsidR="007D5892" w:rsidRDefault="007D5892" w:rsidP="007D5892">
      <w:pPr>
        <w:pStyle w:val="Default"/>
        <w:ind w:left="709"/>
        <w:rPr>
          <w:sz w:val="22"/>
          <w:szCs w:val="22"/>
        </w:rPr>
      </w:pPr>
    </w:p>
    <w:p w:rsidR="007D5892" w:rsidRDefault="00C22D80" w:rsidP="007D5892">
      <w:pPr>
        <w:pStyle w:val="Default"/>
        <w:ind w:left="709"/>
        <w:rPr>
          <w:sz w:val="22"/>
          <w:szCs w:val="22"/>
        </w:rPr>
      </w:pPr>
      <w:r>
        <w:rPr>
          <w:b/>
          <w:bCs/>
          <w:sz w:val="22"/>
          <w:szCs w:val="22"/>
        </w:rPr>
        <w:t xml:space="preserve">Gründe für die </w:t>
      </w:r>
      <w:r w:rsidR="007D5892">
        <w:rPr>
          <w:b/>
          <w:bCs/>
          <w:sz w:val="22"/>
          <w:szCs w:val="22"/>
        </w:rPr>
        <w:t xml:space="preserve">Aufhebung des Mindestkurses: </w:t>
      </w:r>
      <w:r>
        <w:rPr>
          <w:sz w:val="22"/>
          <w:szCs w:val="22"/>
        </w:rPr>
        <w:t xml:space="preserve">Der </w:t>
      </w:r>
      <w:r w:rsidR="007D5892">
        <w:rPr>
          <w:sz w:val="22"/>
          <w:szCs w:val="22"/>
        </w:rPr>
        <w:t xml:space="preserve">Aufwertungsdruck für den Franken </w:t>
      </w:r>
      <w:r>
        <w:rPr>
          <w:sz w:val="22"/>
          <w:szCs w:val="22"/>
        </w:rPr>
        <w:t xml:space="preserve">gegenüber dem Euro </w:t>
      </w:r>
      <w:r w:rsidR="007D5892">
        <w:rPr>
          <w:sz w:val="22"/>
          <w:szCs w:val="22"/>
        </w:rPr>
        <w:t xml:space="preserve">nahm </w:t>
      </w:r>
      <w:r>
        <w:rPr>
          <w:sz w:val="22"/>
          <w:szCs w:val="22"/>
        </w:rPr>
        <w:t xml:space="preserve">im Verlauf des Jahres 2014 massiv </w:t>
      </w:r>
      <w:r w:rsidR="007D5892">
        <w:rPr>
          <w:sz w:val="22"/>
          <w:szCs w:val="22"/>
        </w:rPr>
        <w:t>zu</w:t>
      </w:r>
      <w:r>
        <w:rPr>
          <w:sz w:val="22"/>
          <w:szCs w:val="22"/>
        </w:rPr>
        <w:t>.</w:t>
      </w:r>
      <w:r w:rsidR="007D5892">
        <w:rPr>
          <w:sz w:val="22"/>
          <w:szCs w:val="22"/>
        </w:rPr>
        <w:t xml:space="preserve"> </w:t>
      </w:r>
      <w:r>
        <w:rPr>
          <w:sz w:val="22"/>
          <w:szCs w:val="22"/>
        </w:rPr>
        <w:t xml:space="preserve">Die </w:t>
      </w:r>
      <w:r w:rsidR="007D5892">
        <w:rPr>
          <w:sz w:val="22"/>
          <w:szCs w:val="22"/>
        </w:rPr>
        <w:t xml:space="preserve">SNB bewertete das Kosten-Nutzen-Verhältnis von weiteren massiven Devisenkäufen per Saldo als negativ. </w:t>
      </w:r>
      <w:r>
        <w:rPr>
          <w:sz w:val="22"/>
          <w:szCs w:val="22"/>
        </w:rPr>
        <w:t>Ein Vertreter des SNB sagte:</w:t>
      </w:r>
      <w:r w:rsidR="007D5892">
        <w:rPr>
          <w:sz w:val="22"/>
          <w:szCs w:val="22"/>
        </w:rPr>
        <w:t xml:space="preserve"> </w:t>
      </w:r>
      <w:proofErr w:type="gramStart"/>
      <w:r w:rsidR="007D5892">
        <w:rPr>
          <w:sz w:val="22"/>
          <w:szCs w:val="22"/>
        </w:rPr>
        <w:t>“</w:t>
      </w:r>
      <w:proofErr w:type="gramEnd"/>
      <w:r w:rsidR="007D5892">
        <w:rPr>
          <w:sz w:val="22"/>
          <w:szCs w:val="22"/>
        </w:rPr>
        <w:t xml:space="preserve">dass der Versuch, sich à </w:t>
      </w:r>
      <w:proofErr w:type="spellStart"/>
      <w:r w:rsidR="007D5892">
        <w:rPr>
          <w:sz w:val="22"/>
          <w:szCs w:val="22"/>
        </w:rPr>
        <w:t>tout</w:t>
      </w:r>
      <w:proofErr w:type="spellEnd"/>
      <w:r w:rsidR="007D5892">
        <w:rPr>
          <w:sz w:val="22"/>
          <w:szCs w:val="22"/>
        </w:rPr>
        <w:t xml:space="preserve"> </w:t>
      </w:r>
      <w:proofErr w:type="spellStart"/>
      <w:r w:rsidR="007D5892">
        <w:rPr>
          <w:sz w:val="22"/>
          <w:szCs w:val="22"/>
        </w:rPr>
        <w:t>prix</w:t>
      </w:r>
      <w:proofErr w:type="spellEnd"/>
      <w:r w:rsidR="007D5892">
        <w:rPr>
          <w:sz w:val="22"/>
          <w:szCs w:val="22"/>
        </w:rPr>
        <w:t xml:space="preserve"> am Mindestkurs festzuklammern, wohl ähnlich aussichtsreich gewesen wäre wie das Unterfangen, den Atlantik austrinken zu wollen“</w:t>
      </w:r>
      <w:r>
        <w:rPr>
          <w:sz w:val="22"/>
          <w:szCs w:val="22"/>
        </w:rPr>
        <w:t>.</w:t>
      </w:r>
    </w:p>
    <w:p w:rsidR="00DD669A" w:rsidRPr="009833DA" w:rsidRDefault="00DD669A" w:rsidP="009833DA"/>
    <w:sectPr w:rsidR="00DD669A" w:rsidRPr="009833DA" w:rsidSect="00957AA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18" w:rsidRDefault="00F11718" w:rsidP="00652B65">
      <w:pPr>
        <w:spacing w:after="0" w:line="240" w:lineRule="auto"/>
      </w:pPr>
      <w:r>
        <w:separator/>
      </w:r>
    </w:p>
  </w:endnote>
  <w:endnote w:type="continuationSeparator" w:id="0">
    <w:p w:rsidR="00F11718" w:rsidRDefault="00F11718" w:rsidP="00652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Ten-Bold">
    <w:panose1 w:val="00000000000000000000"/>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Te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18" w:rsidRDefault="00F11718" w:rsidP="00652B65">
      <w:pPr>
        <w:spacing w:after="0" w:line="240" w:lineRule="auto"/>
      </w:pPr>
      <w:r>
        <w:separator/>
      </w:r>
    </w:p>
  </w:footnote>
  <w:footnote w:type="continuationSeparator" w:id="0">
    <w:p w:rsidR="00F11718" w:rsidRDefault="00F11718" w:rsidP="00652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718" w:rsidRPr="007419E2" w:rsidRDefault="00F11718">
    <w:pPr>
      <w:pStyle w:val="Kopfzeile"/>
      <w:pBdr>
        <w:bottom w:val="single" w:sz="12" w:space="1" w:color="auto"/>
      </w:pBdr>
      <w:rPr>
        <w:sz w:val="16"/>
        <w:szCs w:val="16"/>
        <w:lang w:val="de-CH"/>
      </w:rPr>
    </w:pPr>
    <w:r>
      <w:rPr>
        <w:sz w:val="16"/>
        <w:szCs w:val="16"/>
        <w:lang w:val="de-CH"/>
      </w:rPr>
      <w:t xml:space="preserve">Lösungen zu den Repetitionsfragen, </w:t>
    </w:r>
    <w:r w:rsidRPr="00F36267">
      <w:rPr>
        <w:sz w:val="16"/>
        <w:szCs w:val="16"/>
        <w:lang w:val="de-CH"/>
      </w:rPr>
      <w:t>Aktuelle Volkswirtschaftslehre, Peter Eisenhut</w:t>
    </w:r>
    <w:r>
      <w:rPr>
        <w:lang w:val="de-CH"/>
      </w:rPr>
      <w:tab/>
    </w:r>
    <w:r w:rsidRPr="00F36267">
      <w:rPr>
        <w:noProof/>
        <w:lang w:eastAsia="de-DE"/>
      </w:rPr>
      <w:drawing>
        <wp:inline distT="0" distB="0" distL="0" distR="0">
          <wp:extent cx="300654" cy="318052"/>
          <wp:effectExtent l="19050" t="0" r="4146" b="0"/>
          <wp:docPr id="3" name="Bild 3"/>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cstate="print"/>
                  <a:srcRect/>
                  <a:stretch>
                    <a:fillRect/>
                  </a:stretch>
                </pic:blipFill>
                <pic:spPr bwMode="auto">
                  <a:xfrm>
                    <a:off x="0" y="0"/>
                    <a:ext cx="303962" cy="321552"/>
                  </a:xfrm>
                  <a:prstGeom prst="rect">
                    <a:avLst/>
                  </a:prstGeom>
                  <a:noFill/>
                  <a:ln w="9525">
                    <a:noFill/>
                    <a:miter lim="800000"/>
                    <a:headEnd/>
                    <a:tailEnd/>
                  </a:ln>
                  <a:effectLst/>
                </pic:spPr>
              </pic:pic>
            </a:graphicData>
          </a:graphic>
        </wp:inline>
      </w:drawing>
    </w:r>
  </w:p>
  <w:p w:rsidR="00F11718" w:rsidRPr="00F36267" w:rsidRDefault="00F11718">
    <w:pPr>
      <w:pStyle w:val="Kopfzeile"/>
      <w:rPr>
        <w:lang w:val="de-CH"/>
      </w:rPr>
    </w:pP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r>
      <w:rPr>
        <w:lang w:val="de-CH"/>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747B"/>
    <w:multiLevelType w:val="hybridMultilevel"/>
    <w:tmpl w:val="B4FE198C"/>
    <w:lvl w:ilvl="0" w:tplc="28A49104">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0748061A"/>
    <w:multiLevelType w:val="hybridMultilevel"/>
    <w:tmpl w:val="9F1C838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7A6A86"/>
    <w:multiLevelType w:val="hybridMultilevel"/>
    <w:tmpl w:val="A03EE02C"/>
    <w:lvl w:ilvl="0" w:tplc="F6F0017E">
      <w:start w:val="1"/>
      <w:numFmt w:val="lowerLetter"/>
      <w:lvlText w:val="%1)"/>
      <w:lvlJc w:val="left"/>
      <w:pPr>
        <w:ind w:left="1069" w:hanging="360"/>
      </w:pPr>
      <w:rPr>
        <w:rFonts w:cs="TimesTen-Bold"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15:restartNumberingAfterBreak="0">
    <w:nsid w:val="099B274A"/>
    <w:multiLevelType w:val="hybridMultilevel"/>
    <w:tmpl w:val="F11412BC"/>
    <w:lvl w:ilvl="0" w:tplc="B2EC8B8C">
      <w:start w:val="1"/>
      <w:numFmt w:val="lowerLetter"/>
      <w:lvlText w:val="%1)"/>
      <w:lvlJc w:val="left"/>
      <w:pPr>
        <w:ind w:left="1440" w:hanging="360"/>
      </w:pPr>
      <w:rPr>
        <w:rFonts w:cs="TimesTen-Bold"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0AC304A7"/>
    <w:multiLevelType w:val="hybridMultilevel"/>
    <w:tmpl w:val="24E6DB34"/>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0BBA0DB8"/>
    <w:multiLevelType w:val="hybridMultilevel"/>
    <w:tmpl w:val="43EE6DBC"/>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200E03"/>
    <w:multiLevelType w:val="hybridMultilevel"/>
    <w:tmpl w:val="D26645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9C1E33"/>
    <w:multiLevelType w:val="hybridMultilevel"/>
    <w:tmpl w:val="7BB6647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6F6235B"/>
    <w:multiLevelType w:val="hybridMultilevel"/>
    <w:tmpl w:val="14C4E2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F547DE"/>
    <w:multiLevelType w:val="hybridMultilevel"/>
    <w:tmpl w:val="31B68BEA"/>
    <w:lvl w:ilvl="0" w:tplc="73F60B2E">
      <w:start w:val="1"/>
      <w:numFmt w:val="bullet"/>
      <w:lvlText w:val="-"/>
      <w:lvlJc w:val="left"/>
      <w:pPr>
        <w:ind w:left="1080" w:hanging="360"/>
      </w:pPr>
      <w:rPr>
        <w:rFonts w:ascii="Calibri" w:eastAsiaTheme="minorHAnsi" w:hAnsi="Calibri" w:cs="TimesTen-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182909B1"/>
    <w:multiLevelType w:val="hybridMultilevel"/>
    <w:tmpl w:val="4B322784"/>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1A710B13"/>
    <w:multiLevelType w:val="hybridMultilevel"/>
    <w:tmpl w:val="CDA863A6"/>
    <w:lvl w:ilvl="0" w:tplc="9B987FF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15:restartNumberingAfterBreak="0">
    <w:nsid w:val="21742A03"/>
    <w:multiLevelType w:val="hybridMultilevel"/>
    <w:tmpl w:val="DE3E96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6D75165"/>
    <w:multiLevelType w:val="hybridMultilevel"/>
    <w:tmpl w:val="FBC8A9A8"/>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7B0358C"/>
    <w:multiLevelType w:val="hybridMultilevel"/>
    <w:tmpl w:val="1960C54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290F68F4"/>
    <w:multiLevelType w:val="hybridMultilevel"/>
    <w:tmpl w:val="E054ABD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1C63DE9"/>
    <w:multiLevelType w:val="hybridMultilevel"/>
    <w:tmpl w:val="C3C29A0A"/>
    <w:lvl w:ilvl="0" w:tplc="372048C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33D76E13"/>
    <w:multiLevelType w:val="hybridMultilevel"/>
    <w:tmpl w:val="43047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B804A9A"/>
    <w:multiLevelType w:val="hybridMultilevel"/>
    <w:tmpl w:val="3DC64E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00A72E9"/>
    <w:multiLevelType w:val="hybridMultilevel"/>
    <w:tmpl w:val="68AE43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B93E65"/>
    <w:multiLevelType w:val="hybridMultilevel"/>
    <w:tmpl w:val="6F44096A"/>
    <w:lvl w:ilvl="0" w:tplc="9E968136">
      <w:start w:val="1"/>
      <w:numFmt w:val="lowerLetter"/>
      <w:lvlText w:val="%1)"/>
      <w:lvlJc w:val="left"/>
      <w:pPr>
        <w:ind w:left="1428" w:hanging="360"/>
      </w:pPr>
      <w:rPr>
        <w:rFonts w:cs="TimesTen-Roman"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21" w15:restartNumberingAfterBreak="0">
    <w:nsid w:val="46DA5073"/>
    <w:multiLevelType w:val="hybridMultilevel"/>
    <w:tmpl w:val="D2D8439E"/>
    <w:lvl w:ilvl="0" w:tplc="D17CF948">
      <w:start w:val="1"/>
      <w:numFmt w:val="lowerLetter"/>
      <w:lvlText w:val="%1)"/>
      <w:lvlJc w:val="left"/>
      <w:pPr>
        <w:ind w:left="1080" w:hanging="360"/>
      </w:pPr>
      <w:rPr>
        <w:rFonts w:cs="TimesTen-Bold"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485B046B"/>
    <w:multiLevelType w:val="hybridMultilevel"/>
    <w:tmpl w:val="684249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8C45BAD"/>
    <w:multiLevelType w:val="hybridMultilevel"/>
    <w:tmpl w:val="A32ECB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0E65C05"/>
    <w:multiLevelType w:val="hybridMultilevel"/>
    <w:tmpl w:val="4532F5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3BC24D5"/>
    <w:multiLevelType w:val="hybridMultilevel"/>
    <w:tmpl w:val="5E30AC6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686DEF"/>
    <w:multiLevelType w:val="hybridMultilevel"/>
    <w:tmpl w:val="58A62B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85E5428"/>
    <w:multiLevelType w:val="hybridMultilevel"/>
    <w:tmpl w:val="1A2C487A"/>
    <w:lvl w:ilvl="0" w:tplc="209C421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5B9D56FD"/>
    <w:multiLevelType w:val="hybridMultilevel"/>
    <w:tmpl w:val="0290C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C8820B6"/>
    <w:multiLevelType w:val="hybridMultilevel"/>
    <w:tmpl w:val="F1EEB852"/>
    <w:lvl w:ilvl="0" w:tplc="67ACCD56">
      <w:start w:val="1"/>
      <w:numFmt w:val="lowerLetter"/>
      <w:lvlText w:val="%1)"/>
      <w:lvlJc w:val="left"/>
      <w:pPr>
        <w:ind w:left="1068" w:hanging="360"/>
      </w:pPr>
      <w:rPr>
        <w:rFonts w:cs="TimesTen-Bold"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0" w15:restartNumberingAfterBreak="0">
    <w:nsid w:val="60C95737"/>
    <w:multiLevelType w:val="hybridMultilevel"/>
    <w:tmpl w:val="98A6A552"/>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0617947"/>
    <w:multiLevelType w:val="hybridMultilevel"/>
    <w:tmpl w:val="BB9A7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7140CEB"/>
    <w:multiLevelType w:val="hybridMultilevel"/>
    <w:tmpl w:val="71D8CD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D731CB"/>
    <w:multiLevelType w:val="hybridMultilevel"/>
    <w:tmpl w:val="FBC8D874"/>
    <w:lvl w:ilvl="0" w:tplc="3E581B2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num w:numId="1">
    <w:abstractNumId w:val="18"/>
  </w:num>
  <w:num w:numId="2">
    <w:abstractNumId w:val="24"/>
  </w:num>
  <w:num w:numId="3">
    <w:abstractNumId w:val="12"/>
  </w:num>
  <w:num w:numId="4">
    <w:abstractNumId w:val="25"/>
  </w:num>
  <w:num w:numId="5">
    <w:abstractNumId w:val="28"/>
  </w:num>
  <w:num w:numId="6">
    <w:abstractNumId w:val="22"/>
  </w:num>
  <w:num w:numId="7">
    <w:abstractNumId w:val="4"/>
  </w:num>
  <w:num w:numId="8">
    <w:abstractNumId w:val="6"/>
  </w:num>
  <w:num w:numId="9">
    <w:abstractNumId w:val="9"/>
  </w:num>
  <w:num w:numId="10">
    <w:abstractNumId w:val="32"/>
  </w:num>
  <w:num w:numId="11">
    <w:abstractNumId w:val="27"/>
  </w:num>
  <w:num w:numId="12">
    <w:abstractNumId w:val="13"/>
  </w:num>
  <w:num w:numId="13">
    <w:abstractNumId w:val="11"/>
  </w:num>
  <w:num w:numId="14">
    <w:abstractNumId w:val="33"/>
  </w:num>
  <w:num w:numId="15">
    <w:abstractNumId w:val="14"/>
  </w:num>
  <w:num w:numId="16">
    <w:abstractNumId w:val="17"/>
  </w:num>
  <w:num w:numId="17">
    <w:abstractNumId w:val="7"/>
  </w:num>
  <w:num w:numId="18">
    <w:abstractNumId w:val="1"/>
  </w:num>
  <w:num w:numId="19">
    <w:abstractNumId w:val="8"/>
  </w:num>
  <w:num w:numId="20">
    <w:abstractNumId w:val="26"/>
  </w:num>
  <w:num w:numId="21">
    <w:abstractNumId w:val="10"/>
  </w:num>
  <w:num w:numId="22">
    <w:abstractNumId w:val="23"/>
  </w:num>
  <w:num w:numId="23">
    <w:abstractNumId w:val="19"/>
  </w:num>
  <w:num w:numId="24">
    <w:abstractNumId w:val="21"/>
  </w:num>
  <w:num w:numId="25">
    <w:abstractNumId w:val="30"/>
  </w:num>
  <w:num w:numId="26">
    <w:abstractNumId w:val="3"/>
  </w:num>
  <w:num w:numId="27">
    <w:abstractNumId w:val="31"/>
  </w:num>
  <w:num w:numId="28">
    <w:abstractNumId w:val="5"/>
  </w:num>
  <w:num w:numId="29">
    <w:abstractNumId w:val="16"/>
  </w:num>
  <w:num w:numId="30">
    <w:abstractNumId w:val="15"/>
  </w:num>
  <w:num w:numId="31">
    <w:abstractNumId w:val="2"/>
  </w:num>
  <w:num w:numId="32">
    <w:abstractNumId w:val="29"/>
  </w:num>
  <w:num w:numId="33">
    <w:abstractNumId w:val="20"/>
  </w:num>
  <w:num w:numId="34">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65"/>
    <w:rsid w:val="00003C13"/>
    <w:rsid w:val="0002178F"/>
    <w:rsid w:val="00033D66"/>
    <w:rsid w:val="00033E32"/>
    <w:rsid w:val="000418F7"/>
    <w:rsid w:val="00041EE4"/>
    <w:rsid w:val="00072B69"/>
    <w:rsid w:val="0007659D"/>
    <w:rsid w:val="000A3388"/>
    <w:rsid w:val="000E4EF7"/>
    <w:rsid w:val="000F376B"/>
    <w:rsid w:val="001748D8"/>
    <w:rsid w:val="00207F6B"/>
    <w:rsid w:val="0025305C"/>
    <w:rsid w:val="0025381B"/>
    <w:rsid w:val="002C3627"/>
    <w:rsid w:val="002D7FA2"/>
    <w:rsid w:val="00324644"/>
    <w:rsid w:val="00367632"/>
    <w:rsid w:val="003730AA"/>
    <w:rsid w:val="0038088B"/>
    <w:rsid w:val="00391839"/>
    <w:rsid w:val="003A5881"/>
    <w:rsid w:val="003D16B0"/>
    <w:rsid w:val="003D2BBC"/>
    <w:rsid w:val="003F0AE1"/>
    <w:rsid w:val="004109B4"/>
    <w:rsid w:val="0043794E"/>
    <w:rsid w:val="004811F7"/>
    <w:rsid w:val="004A526C"/>
    <w:rsid w:val="004C5E96"/>
    <w:rsid w:val="0052632F"/>
    <w:rsid w:val="00532F1B"/>
    <w:rsid w:val="005406FA"/>
    <w:rsid w:val="00542D6F"/>
    <w:rsid w:val="005F103A"/>
    <w:rsid w:val="00625669"/>
    <w:rsid w:val="00652B65"/>
    <w:rsid w:val="00680A58"/>
    <w:rsid w:val="00685F9F"/>
    <w:rsid w:val="00693599"/>
    <w:rsid w:val="00694B8E"/>
    <w:rsid w:val="00696FF6"/>
    <w:rsid w:val="006D4579"/>
    <w:rsid w:val="006D739E"/>
    <w:rsid w:val="006E44D7"/>
    <w:rsid w:val="006E6811"/>
    <w:rsid w:val="006F0316"/>
    <w:rsid w:val="00704CEE"/>
    <w:rsid w:val="00720B98"/>
    <w:rsid w:val="007419E2"/>
    <w:rsid w:val="00744057"/>
    <w:rsid w:val="0076162A"/>
    <w:rsid w:val="0077049C"/>
    <w:rsid w:val="007857C3"/>
    <w:rsid w:val="00794B2D"/>
    <w:rsid w:val="007C245B"/>
    <w:rsid w:val="007D5892"/>
    <w:rsid w:val="00802BA5"/>
    <w:rsid w:val="00812DE8"/>
    <w:rsid w:val="00855BAD"/>
    <w:rsid w:val="0088268E"/>
    <w:rsid w:val="00922DBB"/>
    <w:rsid w:val="00951DC3"/>
    <w:rsid w:val="00957AA6"/>
    <w:rsid w:val="0097638C"/>
    <w:rsid w:val="009833DA"/>
    <w:rsid w:val="009D274B"/>
    <w:rsid w:val="009E29A5"/>
    <w:rsid w:val="00A2055F"/>
    <w:rsid w:val="00B07287"/>
    <w:rsid w:val="00B16382"/>
    <w:rsid w:val="00B415E0"/>
    <w:rsid w:val="00B54813"/>
    <w:rsid w:val="00B62E12"/>
    <w:rsid w:val="00B92A21"/>
    <w:rsid w:val="00B9733B"/>
    <w:rsid w:val="00C22D80"/>
    <w:rsid w:val="00C65488"/>
    <w:rsid w:val="00C81DEF"/>
    <w:rsid w:val="00C952D4"/>
    <w:rsid w:val="00CB0D83"/>
    <w:rsid w:val="00CB6625"/>
    <w:rsid w:val="00CE5DEB"/>
    <w:rsid w:val="00CF4755"/>
    <w:rsid w:val="00D11EA0"/>
    <w:rsid w:val="00D3344E"/>
    <w:rsid w:val="00D82F27"/>
    <w:rsid w:val="00D97BE8"/>
    <w:rsid w:val="00DC77A7"/>
    <w:rsid w:val="00DD669A"/>
    <w:rsid w:val="00DF04AC"/>
    <w:rsid w:val="00E2704F"/>
    <w:rsid w:val="00E466A6"/>
    <w:rsid w:val="00E76554"/>
    <w:rsid w:val="00E97C47"/>
    <w:rsid w:val="00EA38AA"/>
    <w:rsid w:val="00EB3BB8"/>
    <w:rsid w:val="00EF4DE2"/>
    <w:rsid w:val="00F11718"/>
    <w:rsid w:val="00F14B72"/>
    <w:rsid w:val="00F36267"/>
    <w:rsid w:val="00F402C5"/>
    <w:rsid w:val="00F40825"/>
    <w:rsid w:val="00F42FBD"/>
    <w:rsid w:val="00F710E2"/>
    <w:rsid w:val="00F870FA"/>
    <w:rsid w:val="00FB5BD4"/>
    <w:rsid w:val="00FD7BA5"/>
    <w:rsid w:val="00FF16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CBA3"/>
  <w15:docId w15:val="{B638C0A3-D939-4BB6-B1B9-DA3CA49B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33DA"/>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B0D83"/>
    <w:pPr>
      <w:ind w:left="720"/>
      <w:contextualSpacing/>
    </w:pPr>
  </w:style>
  <w:style w:type="paragraph" w:styleId="Textkrper">
    <w:name w:val="Body Text"/>
    <w:basedOn w:val="Standard"/>
    <w:link w:val="TextkrperZchn"/>
    <w:semiHidden/>
    <w:rsid w:val="00652B65"/>
    <w:pPr>
      <w:spacing w:after="0" w:line="240" w:lineRule="auto"/>
      <w:jc w:val="both"/>
    </w:pPr>
    <w:rPr>
      <w:rFonts w:ascii="Times" w:eastAsia="Times" w:hAnsi="Times" w:cs="Times New Roman"/>
      <w:sz w:val="24"/>
      <w:szCs w:val="20"/>
      <w:lang w:eastAsia="de-DE"/>
    </w:rPr>
  </w:style>
  <w:style w:type="character" w:customStyle="1" w:styleId="TextkrperZchn">
    <w:name w:val="Textkörper Zchn"/>
    <w:basedOn w:val="Absatz-Standardschriftart"/>
    <w:link w:val="Textkrper"/>
    <w:semiHidden/>
    <w:rsid w:val="00652B65"/>
    <w:rPr>
      <w:rFonts w:ascii="Times" w:eastAsia="Times" w:hAnsi="Times" w:cs="Times New Roman"/>
      <w:sz w:val="24"/>
      <w:szCs w:val="20"/>
      <w:lang w:eastAsia="de-DE"/>
    </w:rPr>
  </w:style>
  <w:style w:type="paragraph" w:styleId="Funotentext">
    <w:name w:val="footnote text"/>
    <w:basedOn w:val="Standard"/>
    <w:link w:val="FunotentextZchn"/>
    <w:semiHidden/>
    <w:rsid w:val="00652B65"/>
    <w:pPr>
      <w:spacing w:after="0" w:line="240" w:lineRule="auto"/>
    </w:pPr>
    <w:rPr>
      <w:rFonts w:ascii="Arial" w:eastAsia="Times New Roman" w:hAnsi="Arial" w:cs="Times New Roman"/>
      <w:sz w:val="20"/>
      <w:szCs w:val="20"/>
      <w:lang w:val="de-CH" w:eastAsia="de-DE"/>
    </w:rPr>
  </w:style>
  <w:style w:type="character" w:customStyle="1" w:styleId="FunotentextZchn">
    <w:name w:val="Fußnotentext Zchn"/>
    <w:basedOn w:val="Absatz-Standardschriftart"/>
    <w:link w:val="Funotentext"/>
    <w:semiHidden/>
    <w:rsid w:val="00652B65"/>
    <w:rPr>
      <w:rFonts w:ascii="Arial" w:eastAsia="Times New Roman" w:hAnsi="Arial" w:cs="Times New Roman"/>
      <w:sz w:val="20"/>
      <w:szCs w:val="20"/>
      <w:lang w:val="de-CH" w:eastAsia="de-DE"/>
    </w:rPr>
  </w:style>
  <w:style w:type="character" w:styleId="Funotenzeichen">
    <w:name w:val="footnote reference"/>
    <w:basedOn w:val="Absatz-Standardschriftart"/>
    <w:semiHidden/>
    <w:rsid w:val="00652B65"/>
    <w:rPr>
      <w:vertAlign w:val="superscript"/>
    </w:rPr>
  </w:style>
  <w:style w:type="table" w:styleId="Tabellenraster">
    <w:name w:val="Table Grid"/>
    <w:basedOn w:val="NormaleTabelle"/>
    <w:uiPriority w:val="59"/>
    <w:rsid w:val="00C952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HellesRaster-Akzent11">
    <w:name w:val="Helles Raster - Akzent 11"/>
    <w:basedOn w:val="NormaleTabelle"/>
    <w:uiPriority w:val="62"/>
    <w:rsid w:val="00C952D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fzeile">
    <w:name w:val="header"/>
    <w:basedOn w:val="Standard"/>
    <w:link w:val="KopfzeileZchn"/>
    <w:uiPriority w:val="99"/>
    <w:unhideWhenUsed/>
    <w:rsid w:val="00FD7B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7BA5"/>
    <w:rPr>
      <w:rFonts w:ascii="Calibri" w:hAnsi="Calibri"/>
    </w:rPr>
  </w:style>
  <w:style w:type="paragraph" w:styleId="Fuzeile">
    <w:name w:val="footer"/>
    <w:basedOn w:val="Standard"/>
    <w:link w:val="FuzeileZchn"/>
    <w:uiPriority w:val="99"/>
    <w:semiHidden/>
    <w:unhideWhenUsed/>
    <w:rsid w:val="00FD7BA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FD7BA5"/>
    <w:rPr>
      <w:rFonts w:ascii="Calibri" w:hAnsi="Calibri"/>
    </w:rPr>
  </w:style>
  <w:style w:type="paragraph" w:styleId="Sprechblasentext">
    <w:name w:val="Balloon Text"/>
    <w:basedOn w:val="Standard"/>
    <w:link w:val="SprechblasentextZchn"/>
    <w:uiPriority w:val="99"/>
    <w:semiHidden/>
    <w:unhideWhenUsed/>
    <w:rsid w:val="00FD7B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7BA5"/>
    <w:rPr>
      <w:rFonts w:ascii="Tahoma" w:hAnsi="Tahoma" w:cs="Tahoma"/>
      <w:sz w:val="16"/>
      <w:szCs w:val="16"/>
    </w:rPr>
  </w:style>
  <w:style w:type="paragraph" w:styleId="StandardWeb">
    <w:name w:val="Normal (Web)"/>
    <w:basedOn w:val="Standard"/>
    <w:rsid w:val="00704CE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styleId="Hyperlink">
    <w:name w:val="Hyperlink"/>
    <w:basedOn w:val="Absatz-Standardschriftart"/>
    <w:uiPriority w:val="99"/>
    <w:unhideWhenUsed/>
    <w:rsid w:val="007857C3"/>
    <w:rPr>
      <w:color w:val="0000FF" w:themeColor="hyperlink"/>
      <w:u w:val="single"/>
    </w:rPr>
  </w:style>
  <w:style w:type="paragraph" w:customStyle="1" w:styleId="Default">
    <w:name w:val="Default"/>
    <w:rsid w:val="00922DBB"/>
    <w:pPr>
      <w:autoSpaceDE w:val="0"/>
      <w:autoSpaceDN w:val="0"/>
      <w:adjustRightInd w:val="0"/>
      <w:spacing w:after="0" w:line="240" w:lineRule="auto"/>
    </w:pPr>
    <w:rPr>
      <w:rFonts w:ascii="Calibri" w:hAnsi="Calibri"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D77A-359B-45C4-87AE-5192D29A4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Aktuelle Volkswirtschaftslehre, Peter Eisenhut</vt:lpstr>
    </vt:vector>
  </TitlesOfParts>
  <Company>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Volkswirtschaftslehre, Peter Eisenhut</dc:title>
  <dc:subject/>
  <dc:creator>Peter Eisenhut</dc:creator>
  <cp:keywords/>
  <dc:description/>
  <cp:lastModifiedBy>Peter Eisenhut</cp:lastModifiedBy>
  <cp:revision>3</cp:revision>
  <dcterms:created xsi:type="dcterms:W3CDTF">2018-05-04T14:05:00Z</dcterms:created>
  <dcterms:modified xsi:type="dcterms:W3CDTF">2018-05-04T14:30:00Z</dcterms:modified>
</cp:coreProperties>
</file>