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483" w:rsidRPr="00A51483" w:rsidRDefault="00A51483" w:rsidP="00A51483">
      <w:pPr>
        <w:spacing w:after="0" w:line="240" w:lineRule="auto"/>
        <w:outlineLvl w:val="0"/>
        <w:rPr>
          <w:rFonts w:eastAsia="Times New Roman" w:cstheme="minorHAnsi"/>
          <w:b/>
          <w:kern w:val="36"/>
          <w:sz w:val="24"/>
          <w:szCs w:val="24"/>
          <w:lang w:val="de-DE" w:eastAsia="de-CH"/>
        </w:rPr>
      </w:pPr>
      <w:r w:rsidRPr="00A51483">
        <w:rPr>
          <w:rFonts w:eastAsia="Times New Roman" w:cstheme="minorHAnsi"/>
          <w:b/>
          <w:kern w:val="36"/>
          <w:sz w:val="24"/>
          <w:szCs w:val="24"/>
          <w:lang w:val="de-DE" w:eastAsia="de-CH"/>
        </w:rPr>
        <w:t>Was, wenn die Dynamik auf dem Immobilienmarkt nachlässt?</w:t>
      </w:r>
    </w:p>
    <w:p w:rsidR="00A51483" w:rsidRPr="00A51483" w:rsidRDefault="00A51483" w:rsidP="00A51483">
      <w:pPr>
        <w:spacing w:line="345" w:lineRule="atLeast"/>
        <w:rPr>
          <w:rFonts w:eastAsia="Times New Roman" w:cstheme="minorHAnsi"/>
          <w:lang w:val="de-DE" w:eastAsia="de-CH"/>
        </w:rPr>
      </w:pPr>
      <w:r w:rsidRPr="00A51483">
        <w:rPr>
          <w:rFonts w:eastAsia="Times New Roman" w:cstheme="minorHAnsi"/>
          <w:lang w:val="de-DE" w:eastAsia="de-CH"/>
        </w:rPr>
        <w:t>Immobilienzyklen können beträchtliche positive, aber auch negative Wirkungen auf das Wirtschaftswachstum entfalten. Der gegenwärtige Immobilienzyklus in der Schweiz nähert sich langsam seinem Ende. Ein Grund, sich Sorgen zu machen?</w:t>
      </w:r>
    </w:p>
    <w:p w:rsidR="00A51483" w:rsidRPr="00A51483" w:rsidRDefault="00A51483" w:rsidP="00A51483">
      <w:pPr>
        <w:spacing w:after="0" w:line="240" w:lineRule="atLeast"/>
        <w:rPr>
          <w:rFonts w:eastAsia="Times New Roman" w:cstheme="minorHAnsi"/>
          <w:lang w:val="de-DE" w:eastAsia="de-CH"/>
        </w:rPr>
      </w:pPr>
      <w:r w:rsidRPr="00A51483">
        <w:rPr>
          <w:rFonts w:eastAsia="Times New Roman" w:cstheme="minorHAnsi"/>
          <w:lang w:val="de-DE" w:eastAsia="de-CH"/>
        </w:rPr>
        <w:t>Andrea Martel</w:t>
      </w:r>
    </w:p>
    <w:p w:rsidR="00A51483" w:rsidRPr="00A51483" w:rsidRDefault="00A51483" w:rsidP="00A51483">
      <w:pPr>
        <w:spacing w:after="0" w:line="240" w:lineRule="atLeast"/>
        <w:rPr>
          <w:rFonts w:eastAsia="Times New Roman" w:cstheme="minorHAnsi"/>
          <w:lang w:val="de-DE" w:eastAsia="de-CH"/>
        </w:rPr>
      </w:pPr>
      <w:r w:rsidRPr="00A51483">
        <w:rPr>
          <w:rFonts w:eastAsia="Times New Roman" w:cstheme="minorHAnsi"/>
          <w:lang w:val="de-DE" w:eastAsia="de-CH"/>
        </w:rPr>
        <w:t>NZZ 19.9.2017</w:t>
      </w:r>
    </w:p>
    <w:p w:rsidR="00A51483" w:rsidRPr="00A51483" w:rsidRDefault="00A51483" w:rsidP="00A51483">
      <w:pPr>
        <w:spacing w:after="0" w:line="240" w:lineRule="auto"/>
        <w:rPr>
          <w:rFonts w:eastAsia="Times New Roman" w:cstheme="minorHAnsi"/>
          <w:lang w:val="de-DE" w:eastAsia="de-CH"/>
        </w:rPr>
      </w:pPr>
    </w:p>
    <w:p w:rsidR="00A51483" w:rsidRPr="00A51483" w:rsidRDefault="00A51483" w:rsidP="00A51483">
      <w:pPr>
        <w:spacing w:after="450" w:line="240" w:lineRule="auto"/>
        <w:rPr>
          <w:rFonts w:eastAsia="Times New Roman" w:cstheme="minorHAnsi"/>
          <w:lang w:val="de-DE" w:eastAsia="de-CH"/>
        </w:rPr>
      </w:pPr>
      <w:r w:rsidRPr="00A51483">
        <w:rPr>
          <w:rFonts w:eastAsia="Times New Roman" w:cstheme="minorHAnsi"/>
          <w:lang w:val="de-DE" w:eastAsia="de-CH"/>
        </w:rPr>
        <w:t xml:space="preserve">Immobilienkrisen rufen häufig schwere konjunkturelle Verwerfungen hervor. Die USA und Spanien können ein Lied davon singen. Beide Länder rutschten wegen Verwerfungen auf dem heimischen Immobilienmarkt in schwere Rezessionen ab und </w:t>
      </w:r>
    </w:p>
    <w:p w:rsidR="00A51483" w:rsidRPr="00A51483" w:rsidRDefault="00A51483" w:rsidP="00A51483">
      <w:pPr>
        <w:spacing w:after="450" w:line="240" w:lineRule="auto"/>
        <w:rPr>
          <w:rFonts w:eastAsia="Times New Roman" w:cstheme="minorHAnsi"/>
          <w:lang w:val="de-DE" w:eastAsia="de-CH"/>
        </w:rPr>
      </w:pPr>
      <w:r w:rsidRPr="00A51483">
        <w:rPr>
          <w:rFonts w:eastAsia="Times New Roman" w:cstheme="minorHAnsi"/>
          <w:lang w:val="de-DE" w:eastAsia="de-CH"/>
        </w:rPr>
        <w:t xml:space="preserve">Auch die Schweiz hat Erfahrung mit Immobilienkrisen. In den 1990er Jahren durchlebte sie eine tiefe Krise am Häusermarkt und eine heftige Rezession. Acht lange Jahre dauerte es, bis die Produktionslücke wieder geschlossen war, wie die </w:t>
      </w:r>
      <w:proofErr w:type="spellStart"/>
      <w:r w:rsidRPr="00A51483">
        <w:rPr>
          <w:rFonts w:eastAsia="Times New Roman" w:cstheme="minorHAnsi"/>
          <w:lang w:val="de-DE" w:eastAsia="de-CH"/>
        </w:rPr>
        <w:t>Credit</w:t>
      </w:r>
      <w:proofErr w:type="spellEnd"/>
      <w:r w:rsidRPr="00A51483">
        <w:rPr>
          <w:rFonts w:eastAsia="Times New Roman" w:cstheme="minorHAnsi"/>
          <w:lang w:val="de-DE" w:eastAsia="de-CH"/>
        </w:rPr>
        <w:t xml:space="preserve"> Suisse in ihrer </w:t>
      </w:r>
      <w:hyperlink r:id="rId4" w:history="1">
        <w:r w:rsidRPr="00A51483">
          <w:rPr>
            <w:rFonts w:eastAsia="Times New Roman" w:cstheme="minorHAnsi"/>
            <w:u w:val="single"/>
            <w:lang w:val="de-DE" w:eastAsia="de-CH"/>
          </w:rPr>
          <w:t>neusten Studie zur Schweizer Konjunktur</w:t>
        </w:r>
      </w:hyperlink>
      <w:r w:rsidRPr="00A51483">
        <w:rPr>
          <w:rFonts w:eastAsia="Times New Roman" w:cstheme="minorHAnsi"/>
          <w:lang w:val="de-DE" w:eastAsia="de-CH"/>
        </w:rPr>
        <w:t xml:space="preserve"> schreibt. </w:t>
      </w:r>
    </w:p>
    <w:p w:rsidR="00A51483" w:rsidRPr="00A51483" w:rsidRDefault="00A51483" w:rsidP="00A51483">
      <w:pPr>
        <w:spacing w:before="100" w:beforeAutospacing="1" w:after="100" w:afterAutospacing="1" w:line="240" w:lineRule="auto"/>
        <w:outlineLvl w:val="1"/>
        <w:rPr>
          <w:rFonts w:eastAsia="Times New Roman" w:cstheme="minorHAnsi"/>
          <w:b/>
          <w:bCs/>
          <w:lang w:val="de-DE" w:eastAsia="de-CH"/>
        </w:rPr>
      </w:pPr>
      <w:r w:rsidRPr="00A51483">
        <w:rPr>
          <w:rFonts w:eastAsia="Times New Roman" w:cstheme="minorHAnsi"/>
          <w:b/>
          <w:bCs/>
          <w:lang w:val="de-DE" w:eastAsia="de-CH"/>
        </w:rPr>
        <w:t>Heutige Dynamik im Bau nicht haltbar</w:t>
      </w:r>
    </w:p>
    <w:p w:rsidR="00A51483" w:rsidRPr="00A51483" w:rsidRDefault="00A51483" w:rsidP="00A51483">
      <w:pPr>
        <w:spacing w:after="450" w:line="240" w:lineRule="auto"/>
        <w:rPr>
          <w:rFonts w:eastAsia="Times New Roman" w:cstheme="minorHAnsi"/>
          <w:lang w:val="de-DE" w:eastAsia="de-CH"/>
        </w:rPr>
      </w:pPr>
      <w:r w:rsidRPr="00A51483">
        <w:rPr>
          <w:rFonts w:eastAsia="Times New Roman" w:cstheme="minorHAnsi"/>
          <w:lang w:val="de-DE" w:eastAsia="de-CH"/>
        </w:rPr>
        <w:t xml:space="preserve">Immobilienzyklen können aber auch positive Wachstumskräfte freisetzen. Der von der starken Zuwanderung und den immer niedrigeren Zinsen ausgelöste «Immobilien-Superzyklus» half laut der CS </w:t>
      </w:r>
      <w:proofErr w:type="spellStart"/>
      <w:r w:rsidRPr="00A51483">
        <w:rPr>
          <w:rFonts w:eastAsia="Times New Roman" w:cstheme="minorHAnsi"/>
          <w:lang w:val="de-DE" w:eastAsia="de-CH"/>
        </w:rPr>
        <w:t>massgeblich</w:t>
      </w:r>
      <w:proofErr w:type="spellEnd"/>
      <w:r w:rsidRPr="00A51483">
        <w:rPr>
          <w:rFonts w:eastAsia="Times New Roman" w:cstheme="minorHAnsi"/>
          <w:lang w:val="de-DE" w:eastAsia="de-CH"/>
        </w:rPr>
        <w:t xml:space="preserve"> mit, die Schweiz mehr oder weniger schadlos durch die konjunkturellen Wirren der Finanzkrise ab 2007 zu steuern. Was aber, wenn sich der Immobilienzyklus - wie derzeit der Fall – seinem Ende zuneigt? Wie stark wird dies das Wirtschaftswachstum bremsen? Besteht die Gefahr, dass es zu einer Rezession kommt? </w:t>
      </w:r>
    </w:p>
    <w:p w:rsidR="00A51483" w:rsidRPr="00A51483" w:rsidRDefault="00A51483" w:rsidP="00A51483">
      <w:pPr>
        <w:spacing w:after="0" w:line="240" w:lineRule="auto"/>
        <w:rPr>
          <w:rFonts w:eastAsia="Times New Roman" w:cstheme="minorHAnsi"/>
          <w:lang w:val="de-DE" w:eastAsia="de-CH"/>
        </w:rPr>
      </w:pPr>
      <w:bookmarkStart w:id="0" w:name="_GoBack"/>
      <w:r w:rsidRPr="00A51483">
        <w:rPr>
          <w:rFonts w:eastAsia="Times New Roman" w:cstheme="minorHAnsi"/>
          <w:noProof/>
          <w:lang w:val="de-DE" w:eastAsia="de-CH"/>
        </w:rPr>
        <w:drawing>
          <wp:inline distT="0" distB="0" distL="0" distR="0" wp14:anchorId="1C053747" wp14:editId="32302405">
            <wp:extent cx="5731725" cy="3943847"/>
            <wp:effectExtent l="0" t="0" r="2540" b="0"/>
            <wp:docPr id="3" name="Bild 3" descr="https://img.nzz.ch/S=W690/O=75/http:/nzz-img.s3.amazonaws.com/2017/9/20/18984c45-777d-418c-a441-acc1cc223a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nzz.ch/S=W690/O=75/http:/nzz-img.s3.amazonaws.com/2017/9/20/18984c45-777d-418c-a441-acc1cc223a9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073" cy="3958536"/>
                    </a:xfrm>
                    <a:prstGeom prst="rect">
                      <a:avLst/>
                    </a:prstGeom>
                    <a:noFill/>
                    <a:ln>
                      <a:noFill/>
                    </a:ln>
                  </pic:spPr>
                </pic:pic>
              </a:graphicData>
            </a:graphic>
          </wp:inline>
        </w:drawing>
      </w:r>
      <w:bookmarkEnd w:id="0"/>
    </w:p>
    <w:p w:rsidR="00A51483" w:rsidRPr="00A51483" w:rsidRDefault="00A51483" w:rsidP="00A51483">
      <w:pPr>
        <w:spacing w:after="450" w:line="240" w:lineRule="auto"/>
        <w:rPr>
          <w:rFonts w:eastAsia="Times New Roman" w:cstheme="minorHAnsi"/>
          <w:lang w:val="de-DE" w:eastAsia="de-CH"/>
        </w:rPr>
      </w:pPr>
      <w:r w:rsidRPr="00A51483">
        <w:rPr>
          <w:rFonts w:eastAsia="Times New Roman" w:cstheme="minorHAnsi"/>
          <w:lang w:val="de-DE" w:eastAsia="de-CH"/>
        </w:rPr>
        <w:lastRenderedPageBreak/>
        <w:t xml:space="preserve">Klar ist für die Studienverfasser, dass die Bauwirtschaft in den kommenden Jahren nicht mehr der Wachstumstreiber sein kann, der sie in den letzten Jahren war. Vor allem die Neubautätigkeit werde sich wieder abschwächen (müssen) - </w:t>
      </w:r>
      <w:proofErr w:type="gramStart"/>
      <w:r w:rsidRPr="00A51483">
        <w:rPr>
          <w:rFonts w:eastAsia="Times New Roman" w:cstheme="minorHAnsi"/>
          <w:lang w:val="de-DE" w:eastAsia="de-CH"/>
        </w:rPr>
        <w:t>spätestens</w:t>
      </w:r>
      <w:proofErr w:type="gramEnd"/>
      <w:r w:rsidRPr="00A51483">
        <w:rPr>
          <w:rFonts w:eastAsia="Times New Roman" w:cstheme="minorHAnsi"/>
          <w:lang w:val="de-DE" w:eastAsia="de-CH"/>
        </w:rPr>
        <w:t xml:space="preserve"> wenn dereinst die Negativzinsen aufgehoben werden und sich der Rendite-Spread von Immobilienanlagen gegenüber anderen Anlagen wieder normalisiert. Momentan werden </w:t>
      </w:r>
      <w:proofErr w:type="spellStart"/>
      <w:r w:rsidRPr="00A51483">
        <w:rPr>
          <w:rFonts w:eastAsia="Times New Roman" w:cstheme="minorHAnsi"/>
          <w:lang w:val="de-DE" w:eastAsia="de-CH"/>
        </w:rPr>
        <w:t>gemäss</w:t>
      </w:r>
      <w:proofErr w:type="spellEnd"/>
      <w:r w:rsidRPr="00A51483">
        <w:rPr>
          <w:rFonts w:eastAsia="Times New Roman" w:cstheme="minorHAnsi"/>
          <w:lang w:val="de-DE" w:eastAsia="de-CH"/>
        </w:rPr>
        <w:t xml:space="preserve"> der CS geschätzte 5000 bis 6000 Wohnungen pro Jahr «zu viel» erstellt, was gut 10% der Neubautätigkeit ausmacht. </w:t>
      </w:r>
    </w:p>
    <w:p w:rsidR="00A51483" w:rsidRPr="00A51483" w:rsidRDefault="00A51483" w:rsidP="00A51483">
      <w:pPr>
        <w:spacing w:before="100" w:beforeAutospacing="1" w:after="100" w:afterAutospacing="1" w:line="240" w:lineRule="auto"/>
        <w:outlineLvl w:val="1"/>
        <w:rPr>
          <w:rFonts w:eastAsia="Times New Roman" w:cstheme="minorHAnsi"/>
          <w:b/>
          <w:bCs/>
          <w:lang w:val="de-DE" w:eastAsia="de-CH"/>
        </w:rPr>
      </w:pPr>
      <w:r w:rsidRPr="00A51483">
        <w:rPr>
          <w:rFonts w:eastAsia="Times New Roman" w:cstheme="minorHAnsi"/>
          <w:b/>
          <w:bCs/>
          <w:lang w:val="de-DE" w:eastAsia="de-CH"/>
        </w:rPr>
        <w:t>Fehlende Investitionen in Milliardenhöhe</w:t>
      </w:r>
    </w:p>
    <w:p w:rsidR="00A51483" w:rsidRPr="00A51483" w:rsidRDefault="00A51483" w:rsidP="00A51483">
      <w:pPr>
        <w:spacing w:after="450" w:line="240" w:lineRule="auto"/>
        <w:rPr>
          <w:rFonts w:eastAsia="Times New Roman" w:cstheme="minorHAnsi"/>
          <w:lang w:val="de-DE" w:eastAsia="de-CH"/>
        </w:rPr>
      </w:pPr>
      <w:r w:rsidRPr="00A51483">
        <w:rPr>
          <w:rFonts w:eastAsia="Times New Roman" w:cstheme="minorHAnsi"/>
          <w:lang w:val="de-DE" w:eastAsia="de-CH"/>
        </w:rPr>
        <w:t xml:space="preserve">Nehme man diesen Anteil als obere </w:t>
      </w:r>
      <w:proofErr w:type="spellStart"/>
      <w:r w:rsidRPr="00A51483">
        <w:rPr>
          <w:rFonts w:eastAsia="Times New Roman" w:cstheme="minorHAnsi"/>
          <w:lang w:val="de-DE" w:eastAsia="de-CH"/>
        </w:rPr>
        <w:t>Richtgrösse</w:t>
      </w:r>
      <w:proofErr w:type="spellEnd"/>
      <w:r w:rsidRPr="00A51483">
        <w:rPr>
          <w:rFonts w:eastAsia="Times New Roman" w:cstheme="minorHAnsi"/>
          <w:lang w:val="de-DE" w:eastAsia="de-CH"/>
        </w:rPr>
        <w:t xml:space="preserve"> für die Überproduktion im gesamten Hochbau, so entspreche dies einem jährlich «zu hohen» Wachstumsbeitrag der Bauinvestitionen von rund 3,3 Mrd. Fr. Und wenn ferner unterstellt werde, dass zwecks Abbau des aufgelaufenen Überangebots einige Jahre lang «zu wenig» gebaut werde, müsste dereinst von einem tieferen Wachstumsbeitrag der Bauinvestitionen von rund 6,6 Mrd. Fr. pro Jahr ausgegangen werden. Dies entspricht rund 1% der heutigen Wirtschaftsleistung. </w:t>
      </w:r>
    </w:p>
    <w:p w:rsidR="00A51483" w:rsidRPr="00A51483" w:rsidRDefault="00A51483" w:rsidP="00A51483">
      <w:pPr>
        <w:spacing w:before="100" w:beforeAutospacing="1" w:after="100" w:afterAutospacing="1" w:line="240" w:lineRule="auto"/>
        <w:outlineLvl w:val="1"/>
        <w:rPr>
          <w:rFonts w:eastAsia="Times New Roman" w:cstheme="minorHAnsi"/>
          <w:b/>
          <w:bCs/>
          <w:lang w:val="de-DE" w:eastAsia="de-CH"/>
        </w:rPr>
      </w:pPr>
      <w:r w:rsidRPr="00A51483">
        <w:rPr>
          <w:rFonts w:eastAsia="Times New Roman" w:cstheme="minorHAnsi"/>
          <w:b/>
          <w:bCs/>
          <w:lang w:val="de-DE" w:eastAsia="de-CH"/>
        </w:rPr>
        <w:t>Hoffen auf eine sanfte Landung</w:t>
      </w:r>
    </w:p>
    <w:p w:rsidR="00A51483" w:rsidRPr="00A51483" w:rsidRDefault="00A51483" w:rsidP="00A51483">
      <w:pPr>
        <w:spacing w:after="450" w:line="240" w:lineRule="auto"/>
        <w:rPr>
          <w:rFonts w:eastAsia="Times New Roman" w:cstheme="minorHAnsi"/>
          <w:lang w:val="de-DE" w:eastAsia="de-CH"/>
        </w:rPr>
      </w:pPr>
      <w:r w:rsidRPr="00A51483">
        <w:rPr>
          <w:rFonts w:eastAsia="Times New Roman" w:cstheme="minorHAnsi"/>
          <w:lang w:val="de-DE" w:eastAsia="de-CH"/>
        </w:rPr>
        <w:t>Die Konsequenzen einer Normalisierung der Bautätigkeit bzw. einer Korrektur des Überangebots sind damit nicht vernachlässigbar. Die Korrektur dürfte laut der CS in etwa drei Jahren anlaufen und zur Folge haben, dass der Wachstumsbeitrag seitens des Immobiliensektors im Mittel der nächsten fünf Jahre ausfällt. Sollte die Korrektur in ruhigen Bahnen ablaufen, ist dies nach Einschätzung der Bank gut verkraftbar. Käme aber zur Normalisierung ein Immobiliencrash hinzu, wären die Auswirkungen auf den Konsum und die Bankenlandschaft mit hoher Wahrscheinlich heftiger und hätten das Potenzial, eine Rezession auszulösen.</w:t>
      </w:r>
    </w:p>
    <w:p w:rsidR="00A51483" w:rsidRPr="00A51483" w:rsidRDefault="00A51483" w:rsidP="00A51483">
      <w:pPr>
        <w:spacing w:before="100" w:beforeAutospacing="1" w:after="100" w:afterAutospacing="1" w:line="240" w:lineRule="auto"/>
        <w:outlineLvl w:val="1"/>
        <w:rPr>
          <w:rFonts w:eastAsia="Times New Roman" w:cstheme="minorHAnsi"/>
          <w:b/>
          <w:bCs/>
          <w:lang w:val="de-DE" w:eastAsia="de-CH"/>
        </w:rPr>
      </w:pPr>
      <w:r w:rsidRPr="00A51483">
        <w:rPr>
          <w:rFonts w:eastAsia="Times New Roman" w:cstheme="minorHAnsi"/>
          <w:b/>
          <w:bCs/>
          <w:lang w:val="de-DE" w:eastAsia="de-CH"/>
        </w:rPr>
        <w:t>Schweinezyklus als Normalfall</w:t>
      </w:r>
    </w:p>
    <w:p w:rsidR="00A51483" w:rsidRPr="00A51483" w:rsidRDefault="00A51483" w:rsidP="00A51483">
      <w:pPr>
        <w:spacing w:after="450" w:line="240" w:lineRule="auto"/>
        <w:rPr>
          <w:rFonts w:eastAsia="Times New Roman" w:cstheme="minorHAnsi"/>
          <w:lang w:val="de-DE" w:eastAsia="de-CH"/>
        </w:rPr>
      </w:pPr>
      <w:r w:rsidRPr="00A51483">
        <w:rPr>
          <w:rFonts w:eastAsia="Times New Roman" w:cstheme="minorHAnsi"/>
          <w:lang w:val="de-DE" w:eastAsia="de-CH"/>
        </w:rPr>
        <w:t xml:space="preserve">Dass die Immobilienmärkte stärker als andere Wirtschaftssektoren zyklischen Schwankungen unterliegen, hängt sowohl mit der Standortgebundenheit von Immobilien als auch mit ihrer langen Herstellungsdauer zusammen. Beide Eigenschaften verhindern eine rasche Markträumung und lassen anhaltende Ungleichgewichte entstehen. Damit gehen ausgeprägte Preisschwankungen einher, die ihrerseits die Bautätigkeit </w:t>
      </w:r>
      <w:proofErr w:type="spellStart"/>
      <w:r w:rsidRPr="00A51483">
        <w:rPr>
          <w:rFonts w:eastAsia="Times New Roman" w:cstheme="minorHAnsi"/>
          <w:lang w:val="de-DE" w:eastAsia="de-CH"/>
        </w:rPr>
        <w:t>übermässig</w:t>
      </w:r>
      <w:proofErr w:type="spellEnd"/>
      <w:r w:rsidRPr="00A51483">
        <w:rPr>
          <w:rFonts w:eastAsia="Times New Roman" w:cstheme="minorHAnsi"/>
          <w:lang w:val="de-DE" w:eastAsia="de-CH"/>
        </w:rPr>
        <w:t xml:space="preserve"> beschleunigen bzw. bremsen.</w:t>
      </w:r>
    </w:p>
    <w:p w:rsidR="00A51483" w:rsidRPr="00A51483" w:rsidRDefault="00A51483" w:rsidP="00A51483">
      <w:pPr>
        <w:spacing w:after="450" w:line="240" w:lineRule="auto"/>
        <w:rPr>
          <w:rFonts w:eastAsia="Times New Roman" w:cstheme="minorHAnsi"/>
          <w:lang w:val="de-DE" w:eastAsia="de-CH"/>
        </w:rPr>
      </w:pPr>
      <w:r w:rsidRPr="00A51483">
        <w:rPr>
          <w:rFonts w:eastAsia="Times New Roman" w:cstheme="minorHAnsi"/>
          <w:lang w:val="de-DE" w:eastAsia="de-CH"/>
        </w:rPr>
        <w:t xml:space="preserve">Und dass sich diese Schwankungen wiederum vergleichsweise rasch und heftig auf die Gesamtwirtschaft übertragen, hängt nicht zuletzt mit der </w:t>
      </w:r>
      <w:proofErr w:type="spellStart"/>
      <w:r w:rsidRPr="00A51483">
        <w:rPr>
          <w:rFonts w:eastAsia="Times New Roman" w:cstheme="minorHAnsi"/>
          <w:lang w:val="de-DE" w:eastAsia="de-CH"/>
        </w:rPr>
        <w:t>Grösse</w:t>
      </w:r>
      <w:proofErr w:type="spellEnd"/>
      <w:r w:rsidRPr="00A51483">
        <w:rPr>
          <w:rFonts w:eastAsia="Times New Roman" w:cstheme="minorHAnsi"/>
          <w:lang w:val="de-DE" w:eastAsia="de-CH"/>
        </w:rPr>
        <w:t xml:space="preserve"> des Immobilien- und Bausektors zusammen. Wüest Partner schätzt den Wert des Schweizer Gebäudeparks mit seinen rund 2,5 Mio. Gebäuden auf mehr als 3,3 Bio. Fr. In der Vermögensbilanz der Haushalte machen Immobilien laut der Schweizerischen Nationalbank mit 44% mit Abstand den </w:t>
      </w:r>
      <w:proofErr w:type="spellStart"/>
      <w:r w:rsidRPr="00A51483">
        <w:rPr>
          <w:rFonts w:eastAsia="Times New Roman" w:cstheme="minorHAnsi"/>
          <w:lang w:val="de-DE" w:eastAsia="de-CH"/>
        </w:rPr>
        <w:t>grössten</w:t>
      </w:r>
      <w:proofErr w:type="spellEnd"/>
      <w:r w:rsidRPr="00A51483">
        <w:rPr>
          <w:rFonts w:eastAsia="Times New Roman" w:cstheme="minorHAnsi"/>
          <w:lang w:val="de-DE" w:eastAsia="de-CH"/>
        </w:rPr>
        <w:t xml:space="preserve"> Aktivposten aus, vor den Ansprüchen gegenüber Versicherungen und Pensionskassen (23%) und weit vor Aktien (7%). Ein Börsencrash führt somit zu weit geringeren konjunkturbremsenden </w:t>
      </w:r>
      <w:proofErr w:type="spellStart"/>
      <w:r w:rsidRPr="00A51483">
        <w:rPr>
          <w:rFonts w:eastAsia="Times New Roman" w:cstheme="minorHAnsi"/>
          <w:lang w:val="de-DE" w:eastAsia="de-CH"/>
        </w:rPr>
        <w:t>Vermögenseinbussen</w:t>
      </w:r>
      <w:proofErr w:type="spellEnd"/>
      <w:r w:rsidRPr="00A51483">
        <w:rPr>
          <w:rFonts w:eastAsia="Times New Roman" w:cstheme="minorHAnsi"/>
          <w:lang w:val="de-DE" w:eastAsia="de-CH"/>
        </w:rPr>
        <w:t xml:space="preserve"> als ein Immobiliencrash. </w:t>
      </w:r>
    </w:p>
    <w:p w:rsidR="0011617A" w:rsidRPr="00A51483" w:rsidRDefault="0011617A" w:rsidP="00A51483">
      <w:pPr>
        <w:rPr>
          <w:rFonts w:cstheme="minorHAnsi"/>
        </w:rPr>
      </w:pPr>
    </w:p>
    <w:sectPr w:rsidR="0011617A" w:rsidRPr="00A514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83"/>
    <w:rsid w:val="0011617A"/>
    <w:rsid w:val="00A514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FA9B"/>
  <w15:chartTrackingRefBased/>
  <w15:docId w15:val="{B9A439C2-0779-4942-BF38-7F7413E6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817303">
      <w:bodyDiv w:val="1"/>
      <w:marLeft w:val="0"/>
      <w:marRight w:val="0"/>
      <w:marTop w:val="0"/>
      <w:marBottom w:val="0"/>
      <w:divBdr>
        <w:top w:val="none" w:sz="0" w:space="0" w:color="auto"/>
        <w:left w:val="none" w:sz="0" w:space="0" w:color="auto"/>
        <w:bottom w:val="none" w:sz="0" w:space="0" w:color="auto"/>
        <w:right w:val="none" w:sz="0" w:space="0" w:color="auto"/>
      </w:divBdr>
      <w:divsChild>
        <w:div w:id="828525331">
          <w:marLeft w:val="0"/>
          <w:marRight w:val="0"/>
          <w:marTop w:val="0"/>
          <w:marBottom w:val="0"/>
          <w:divBdr>
            <w:top w:val="none" w:sz="0" w:space="0" w:color="auto"/>
            <w:left w:val="none" w:sz="0" w:space="0" w:color="auto"/>
            <w:bottom w:val="none" w:sz="0" w:space="0" w:color="auto"/>
            <w:right w:val="none" w:sz="0" w:space="0" w:color="auto"/>
          </w:divBdr>
          <w:divsChild>
            <w:div w:id="1593855787">
              <w:marLeft w:val="0"/>
              <w:marRight w:val="0"/>
              <w:marTop w:val="0"/>
              <w:marBottom w:val="0"/>
              <w:divBdr>
                <w:top w:val="none" w:sz="0" w:space="0" w:color="auto"/>
                <w:left w:val="none" w:sz="0" w:space="0" w:color="auto"/>
                <w:bottom w:val="none" w:sz="0" w:space="0" w:color="auto"/>
                <w:right w:val="none" w:sz="0" w:space="0" w:color="auto"/>
              </w:divBdr>
              <w:divsChild>
                <w:div w:id="976573885">
                  <w:marLeft w:val="0"/>
                  <w:marRight w:val="0"/>
                  <w:marTop w:val="0"/>
                  <w:marBottom w:val="0"/>
                  <w:divBdr>
                    <w:top w:val="none" w:sz="0" w:space="0" w:color="auto"/>
                    <w:left w:val="none" w:sz="0" w:space="0" w:color="auto"/>
                    <w:bottom w:val="none" w:sz="0" w:space="0" w:color="auto"/>
                    <w:right w:val="none" w:sz="0" w:space="0" w:color="auto"/>
                  </w:divBdr>
                  <w:divsChild>
                    <w:div w:id="1386174374">
                      <w:marLeft w:val="0"/>
                      <w:marRight w:val="0"/>
                      <w:marTop w:val="0"/>
                      <w:marBottom w:val="0"/>
                      <w:divBdr>
                        <w:top w:val="none" w:sz="0" w:space="0" w:color="auto"/>
                        <w:left w:val="none" w:sz="0" w:space="0" w:color="auto"/>
                        <w:bottom w:val="none" w:sz="0" w:space="0" w:color="auto"/>
                        <w:right w:val="none" w:sz="0" w:space="0" w:color="auto"/>
                      </w:divBdr>
                      <w:divsChild>
                        <w:div w:id="1413157582">
                          <w:marLeft w:val="0"/>
                          <w:marRight w:val="0"/>
                          <w:marTop w:val="0"/>
                          <w:marBottom w:val="0"/>
                          <w:divBdr>
                            <w:top w:val="none" w:sz="0" w:space="0" w:color="auto"/>
                            <w:left w:val="none" w:sz="0" w:space="0" w:color="auto"/>
                            <w:bottom w:val="none" w:sz="0" w:space="0" w:color="auto"/>
                            <w:right w:val="none" w:sz="0" w:space="0" w:color="auto"/>
                          </w:divBdr>
                        </w:div>
                        <w:div w:id="2058896715">
                          <w:marLeft w:val="0"/>
                          <w:marRight w:val="0"/>
                          <w:marTop w:val="0"/>
                          <w:marBottom w:val="450"/>
                          <w:divBdr>
                            <w:top w:val="none" w:sz="0" w:space="0" w:color="auto"/>
                            <w:left w:val="none" w:sz="0" w:space="0" w:color="auto"/>
                            <w:bottom w:val="none" w:sz="0" w:space="0" w:color="auto"/>
                            <w:right w:val="none" w:sz="0" w:space="0" w:color="auto"/>
                          </w:divBdr>
                        </w:div>
                        <w:div w:id="1944529481">
                          <w:marLeft w:val="0"/>
                          <w:marRight w:val="0"/>
                          <w:marTop w:val="300"/>
                          <w:marBottom w:val="0"/>
                          <w:divBdr>
                            <w:top w:val="none" w:sz="0" w:space="0" w:color="auto"/>
                            <w:left w:val="none" w:sz="0" w:space="0" w:color="auto"/>
                            <w:bottom w:val="none" w:sz="0" w:space="0" w:color="auto"/>
                            <w:right w:val="none" w:sz="0" w:space="0" w:color="auto"/>
                          </w:divBdr>
                        </w:div>
                      </w:divsChild>
                    </w:div>
                    <w:div w:id="1153566253">
                      <w:marLeft w:val="0"/>
                      <w:marRight w:val="0"/>
                      <w:marTop w:val="0"/>
                      <w:marBottom w:val="0"/>
                      <w:divBdr>
                        <w:top w:val="none" w:sz="0" w:space="0" w:color="auto"/>
                        <w:left w:val="none" w:sz="0" w:space="0" w:color="auto"/>
                        <w:bottom w:val="none" w:sz="0" w:space="0" w:color="auto"/>
                        <w:right w:val="none" w:sz="0" w:space="0" w:color="auto"/>
                      </w:divBdr>
                      <w:divsChild>
                        <w:div w:id="705561435">
                          <w:marLeft w:val="0"/>
                          <w:marRight w:val="0"/>
                          <w:marTop w:val="0"/>
                          <w:marBottom w:val="0"/>
                          <w:divBdr>
                            <w:top w:val="none" w:sz="0" w:space="0" w:color="auto"/>
                            <w:left w:val="none" w:sz="0" w:space="0" w:color="auto"/>
                            <w:bottom w:val="none" w:sz="0" w:space="0" w:color="auto"/>
                            <w:right w:val="none" w:sz="0" w:space="0" w:color="auto"/>
                          </w:divBdr>
                        </w:div>
                      </w:divsChild>
                    </w:div>
                    <w:div w:id="765543430">
                      <w:marLeft w:val="0"/>
                      <w:marRight w:val="0"/>
                      <w:marTop w:val="0"/>
                      <w:marBottom w:val="0"/>
                      <w:divBdr>
                        <w:top w:val="none" w:sz="0" w:space="0" w:color="auto"/>
                        <w:left w:val="none" w:sz="0" w:space="0" w:color="auto"/>
                        <w:bottom w:val="none" w:sz="0" w:space="0" w:color="auto"/>
                        <w:right w:val="none" w:sz="0" w:space="0" w:color="auto"/>
                      </w:divBdr>
                      <w:divsChild>
                        <w:div w:id="567113287">
                          <w:marLeft w:val="0"/>
                          <w:marRight w:val="0"/>
                          <w:marTop w:val="0"/>
                          <w:marBottom w:val="0"/>
                          <w:divBdr>
                            <w:top w:val="none" w:sz="0" w:space="0" w:color="auto"/>
                            <w:left w:val="none" w:sz="0" w:space="0" w:color="auto"/>
                            <w:bottom w:val="none" w:sz="0" w:space="0" w:color="auto"/>
                            <w:right w:val="none" w:sz="0" w:space="0" w:color="auto"/>
                          </w:divBdr>
                          <w:divsChild>
                            <w:div w:id="1937205999">
                              <w:marLeft w:val="0"/>
                              <w:marRight w:val="0"/>
                              <w:marTop w:val="0"/>
                              <w:marBottom w:val="0"/>
                              <w:divBdr>
                                <w:top w:val="none" w:sz="0" w:space="0" w:color="auto"/>
                                <w:left w:val="none" w:sz="0" w:space="0" w:color="auto"/>
                                <w:bottom w:val="none" w:sz="0" w:space="0" w:color="auto"/>
                                <w:right w:val="none" w:sz="0" w:space="0" w:color="auto"/>
                              </w:divBdr>
                            </w:div>
                            <w:div w:id="21176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7274">
                      <w:marLeft w:val="0"/>
                      <w:marRight w:val="0"/>
                      <w:marTop w:val="0"/>
                      <w:marBottom w:val="0"/>
                      <w:divBdr>
                        <w:top w:val="none" w:sz="0" w:space="0" w:color="auto"/>
                        <w:left w:val="none" w:sz="0" w:space="0" w:color="auto"/>
                        <w:bottom w:val="none" w:sz="0" w:space="0" w:color="auto"/>
                        <w:right w:val="none" w:sz="0" w:space="0" w:color="auto"/>
                      </w:divBdr>
                      <w:divsChild>
                        <w:div w:id="97341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ublications.credit-suisse.com/index.cfm/publikationen-shop/schweizer-wirtschaft/?relavtivepid=A93C00ED-03E2-3BF6-BAA5D0B03B20354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3807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Jörg</dc:creator>
  <cp:keywords/>
  <dc:description/>
  <cp:lastModifiedBy>Hans Jörg</cp:lastModifiedBy>
  <cp:revision>1</cp:revision>
  <dcterms:created xsi:type="dcterms:W3CDTF">2017-09-20T11:22:00Z</dcterms:created>
  <dcterms:modified xsi:type="dcterms:W3CDTF">2017-09-20T11:24:00Z</dcterms:modified>
</cp:coreProperties>
</file>